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50F48D59" w:rsidR="007A5B38" w:rsidRPr="000C5734" w:rsidRDefault="000C5734" w:rsidP="007A5B38">
      <w:pPr>
        <w:pStyle w:val="3GPPHeader"/>
        <w:rPr>
          <w:highlight w:val="yellow"/>
          <w:lang w:val="en-US"/>
        </w:rPr>
      </w:pPr>
      <w:r w:rsidRPr="000C5734">
        <w:rPr>
          <w:lang w:val="en-US"/>
        </w:rPr>
        <w:t xml:space="preserve">3GPP TSG RAN WG1 Meeting </w:t>
      </w:r>
      <w:r w:rsidR="0070615A">
        <w:rPr>
          <w:lang w:val="en-US"/>
        </w:rPr>
        <w:t>#92</w:t>
      </w:r>
      <w:r w:rsidR="007A5B38" w:rsidRPr="000C5734">
        <w:rPr>
          <w:lang w:val="en-US"/>
        </w:rPr>
        <w:tab/>
      </w:r>
      <w:r w:rsidR="00DB5D6F" w:rsidRPr="00DB5D6F">
        <w:rPr>
          <w:lang w:val="en-US"/>
        </w:rPr>
        <w:t>R1-1802756</w:t>
      </w:r>
    </w:p>
    <w:p w14:paraId="161050DA" w14:textId="4C200E18" w:rsidR="007A5B38" w:rsidRPr="007679B0" w:rsidRDefault="0070615A" w:rsidP="007A5B38">
      <w:pPr>
        <w:pStyle w:val="3GPPHeader"/>
        <w:rPr>
          <w:lang w:val="en-US"/>
        </w:rPr>
      </w:pPr>
      <w:r>
        <w:rPr>
          <w:lang w:val="en-US"/>
        </w:rPr>
        <w:t>Athens, Greece</w:t>
      </w:r>
      <w:r w:rsidR="000C5734" w:rsidRPr="000C5734">
        <w:rPr>
          <w:lang w:val="en-US"/>
        </w:rPr>
        <w:t xml:space="preserve">, </w:t>
      </w:r>
      <w:r>
        <w:rPr>
          <w:lang w:val="en-US"/>
        </w:rPr>
        <w:t>26</w:t>
      </w:r>
      <w:r w:rsidRPr="0070615A">
        <w:rPr>
          <w:vertAlign w:val="superscript"/>
          <w:lang w:val="en-US"/>
        </w:rPr>
        <w:t>th</w:t>
      </w:r>
      <w:r>
        <w:rPr>
          <w:lang w:val="en-US"/>
        </w:rPr>
        <w:t xml:space="preserve"> </w:t>
      </w:r>
      <w:r w:rsidR="00C16FE9">
        <w:rPr>
          <w:lang w:val="en-US"/>
        </w:rPr>
        <w:t xml:space="preserve">February </w:t>
      </w:r>
      <w:r>
        <w:rPr>
          <w:lang w:val="en-US"/>
        </w:rPr>
        <w:t xml:space="preserve">– </w:t>
      </w:r>
      <w:r w:rsidR="00C16FE9">
        <w:rPr>
          <w:lang w:val="en-US"/>
        </w:rPr>
        <w:t>2</w:t>
      </w:r>
      <w:r w:rsidR="00C16FE9" w:rsidRPr="00C16FE9">
        <w:rPr>
          <w:vertAlign w:val="superscript"/>
          <w:lang w:val="en-US"/>
        </w:rPr>
        <w:t>nd</w:t>
      </w:r>
      <w:r w:rsidR="00C16FE9">
        <w:rPr>
          <w:lang w:val="en-US"/>
        </w:rPr>
        <w:t xml:space="preserve"> March</w:t>
      </w:r>
      <w:r w:rsidR="000C5734" w:rsidRPr="000C5734">
        <w:rPr>
          <w:lang w:val="en-US"/>
        </w:rPr>
        <w:t>,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2028DB9" w:rsidR="00E90E49" w:rsidRPr="00327997" w:rsidRDefault="003D3C45" w:rsidP="00327997">
      <w:pPr>
        <w:pStyle w:val="3GPPHeader"/>
      </w:pPr>
      <w:r w:rsidRPr="00327997">
        <w:t>Title:</w:t>
      </w:r>
      <w:r w:rsidR="00E90E49" w:rsidRPr="00327997">
        <w:tab/>
      </w:r>
      <w:r w:rsidR="00D51369">
        <w:t xml:space="preserve">Remaining issues on </w:t>
      </w:r>
      <w:r w:rsidR="00DB5D6F">
        <w:t>S</w:t>
      </w:r>
      <w:r w:rsidR="00D51369">
        <w:t>RS</w:t>
      </w:r>
    </w:p>
    <w:p w14:paraId="2D554DE3" w14:textId="7A370466" w:rsidR="00952A24" w:rsidRPr="00327997" w:rsidRDefault="00952A24" w:rsidP="00327997">
      <w:pPr>
        <w:pStyle w:val="3GPPHeader"/>
      </w:pPr>
      <w:r w:rsidRPr="00B2442C">
        <w:t>Agenda Item:</w:t>
      </w:r>
      <w:r w:rsidRPr="00B2442C">
        <w:tab/>
      </w:r>
      <w:r w:rsidR="00CD0D9B" w:rsidRPr="00B2442C">
        <w:t>7.</w:t>
      </w:r>
      <w:r w:rsidR="0070615A" w:rsidRPr="00B2442C">
        <w:t>1.2.</w:t>
      </w:r>
      <w:r w:rsidR="00B2442C" w:rsidRPr="00B2442C">
        <w:t>3</w:t>
      </w:r>
      <w:r w:rsidR="0070615A" w:rsidRPr="00B2442C">
        <w:t>.</w:t>
      </w:r>
      <w:r w:rsidR="00B2442C" w:rsidRPr="00B2442C">
        <w:t>5</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70387F4F" w14:textId="6DB0ECB3" w:rsidR="00BF617B" w:rsidRDefault="001A77C2" w:rsidP="00BF7642">
      <w:pPr>
        <w:pStyle w:val="BodyText"/>
      </w:pPr>
      <w:r>
        <w:t xml:space="preserve">In this contribution, we discuss </w:t>
      </w:r>
      <w:r w:rsidR="00BF617B">
        <w:t>corrections to SRS set configuration to support reciprocity-based DL beamforming. We also discuss periodicity for periodic/semi-persistent SRS.</w:t>
      </w:r>
      <w:bookmarkStart w:id="0" w:name="_GoBack"/>
      <w:bookmarkEnd w:id="0"/>
    </w:p>
    <w:p w14:paraId="3CB8F8BC" w14:textId="6A297FA4" w:rsidR="004000E8" w:rsidRDefault="004000E8" w:rsidP="00CE0424">
      <w:pPr>
        <w:pStyle w:val="Heading1"/>
      </w:pPr>
      <w:bookmarkStart w:id="1" w:name="_Ref178064866"/>
      <w:r w:rsidRPr="00CE0424">
        <w:t>Discussion</w:t>
      </w:r>
      <w:bookmarkEnd w:id="1"/>
    </w:p>
    <w:p w14:paraId="690FEF79" w14:textId="3293AEC2" w:rsidR="00B2442C" w:rsidRDefault="00B2442C" w:rsidP="00B2442C">
      <w:pPr>
        <w:pStyle w:val="Heading2"/>
      </w:pPr>
      <w:r w:rsidRPr="00B2442C">
        <w:t>Configuration of SRS set to support reciprocity</w:t>
      </w:r>
      <w:r w:rsidR="003C2BEB">
        <w:t>-</w:t>
      </w:r>
      <w:r w:rsidRPr="00B2442C">
        <w:t xml:space="preserve">based DL </w:t>
      </w:r>
      <w:r w:rsidR="004A350D">
        <w:t>precoding</w:t>
      </w:r>
      <w:r w:rsidRPr="00B2442C">
        <w:t xml:space="preserve"> when T = R</w:t>
      </w:r>
    </w:p>
    <w:p w14:paraId="05F11534" w14:textId="013E6116" w:rsidR="0044675E" w:rsidRPr="00B2442C" w:rsidRDefault="0044675E" w:rsidP="00B91545">
      <w:pPr>
        <w:overflowPunct/>
        <w:autoSpaceDE/>
        <w:autoSpaceDN/>
        <w:adjustRightInd/>
        <w:spacing w:after="0"/>
        <w:textAlignment w:val="auto"/>
      </w:pPr>
      <w:r w:rsidRPr="0048482F">
        <w:rPr>
          <w:rFonts w:eastAsia="MS Mincho"/>
          <w:color w:val="000000"/>
          <w:lang w:val="en-US" w:eastAsia="ja-JP"/>
        </w:rPr>
        <w:t xml:space="preserve">The </w:t>
      </w:r>
      <w:r w:rsidRPr="0048482F">
        <w:rPr>
          <w:color w:val="000000"/>
        </w:rPr>
        <w:t xml:space="preserve">UE can be configured with one or more Sounding Reference Symbol (SRS) resource sets as configured by the higher layer parameter </w:t>
      </w:r>
      <w:r w:rsidRPr="0048482F">
        <w:rPr>
          <w:i/>
          <w:color w:val="000000"/>
        </w:rPr>
        <w:t>SRS-ResourceSetConfig</w:t>
      </w:r>
      <w:r w:rsidR="003C2BEB">
        <w:rPr>
          <w:rFonts w:eastAsia="MS Mincho"/>
          <w:color w:val="000000"/>
          <w:lang w:val="en-US" w:eastAsia="ja-JP"/>
        </w:rPr>
        <w:t>.</w:t>
      </w:r>
      <w:r w:rsidR="003C2BEB" w:rsidRPr="0048482F">
        <w:rPr>
          <w:color w:val="000000"/>
        </w:rPr>
        <w:t xml:space="preserve"> </w:t>
      </w:r>
      <w:r w:rsidRPr="0048482F">
        <w:rPr>
          <w:color w:val="000000"/>
        </w:rPr>
        <w:t xml:space="preserve">The SRS resource set applicability is configured by the higher layer parameter </w:t>
      </w:r>
      <w:r w:rsidRPr="0048482F">
        <w:rPr>
          <w:i/>
          <w:color w:val="000000"/>
        </w:rPr>
        <w:t>SRS-SetUse</w:t>
      </w:r>
      <w:r w:rsidR="003C2BEB" w:rsidRPr="0048482F">
        <w:rPr>
          <w:rFonts w:eastAsia="MS Mincho"/>
          <w:color w:val="000000"/>
          <w:lang w:val="en-US" w:eastAsia="ja-JP"/>
        </w:rPr>
        <w:t xml:space="preserve"> </w:t>
      </w:r>
      <w:r w:rsidR="003C2BEB">
        <w:rPr>
          <w:rFonts w:eastAsia="MS Mincho"/>
          <w:color w:val="000000"/>
          <w:lang w:val="en-US" w:eastAsia="ja-JP"/>
        </w:rPr>
        <w:fldChar w:fldCharType="begin"/>
      </w:r>
      <w:r w:rsidR="003C2BEB">
        <w:rPr>
          <w:rFonts w:eastAsia="MS Mincho"/>
          <w:color w:val="000000"/>
          <w:lang w:val="en-US" w:eastAsia="ja-JP"/>
        </w:rPr>
        <w:instrText xml:space="preserve"> REF _Ref506553144 \r \h </w:instrText>
      </w:r>
      <w:r w:rsidR="00B91545">
        <w:rPr>
          <w:rFonts w:eastAsia="MS Mincho"/>
          <w:color w:val="000000"/>
          <w:lang w:val="en-US" w:eastAsia="ja-JP"/>
        </w:rPr>
        <w:instrText xml:space="preserve"> \* MERGEFORMAT </w:instrText>
      </w:r>
      <w:r w:rsidR="003C2BEB">
        <w:rPr>
          <w:rFonts w:eastAsia="MS Mincho"/>
          <w:color w:val="000000"/>
          <w:lang w:val="en-US" w:eastAsia="ja-JP"/>
        </w:rPr>
      </w:r>
      <w:r w:rsidR="003C2BEB">
        <w:rPr>
          <w:rFonts w:eastAsia="MS Mincho"/>
          <w:color w:val="000000"/>
          <w:lang w:val="en-US" w:eastAsia="ja-JP"/>
        </w:rPr>
        <w:fldChar w:fldCharType="separate"/>
      </w:r>
      <w:r w:rsidR="003C2BEB">
        <w:rPr>
          <w:rFonts w:eastAsia="MS Mincho"/>
          <w:color w:val="000000"/>
          <w:lang w:val="en-US" w:eastAsia="ja-JP"/>
        </w:rPr>
        <w:t>[2]</w:t>
      </w:r>
      <w:r w:rsidR="003C2BEB">
        <w:rPr>
          <w:rFonts w:eastAsia="MS Mincho"/>
          <w:color w:val="000000"/>
          <w:lang w:val="en-US" w:eastAsia="ja-JP"/>
        </w:rPr>
        <w:fldChar w:fldCharType="end"/>
      </w:r>
      <w:r w:rsidRPr="0048482F">
        <w:rPr>
          <w:i/>
          <w:color w:val="000000"/>
        </w:rPr>
        <w:t>.</w:t>
      </w:r>
      <w:r w:rsidRPr="00B873F3">
        <w:rPr>
          <w:color w:val="000000"/>
        </w:rPr>
        <w:t xml:space="preserve"> </w:t>
      </w:r>
      <w:r>
        <w:t xml:space="preserve">The </w:t>
      </w:r>
      <w:r w:rsidR="002B65B8">
        <w:t>value</w:t>
      </w:r>
      <w:r w:rsidR="00F6408B">
        <w:t>s</w:t>
      </w:r>
      <w:r w:rsidR="002B65B8">
        <w:t xml:space="preserve"> </w:t>
      </w:r>
      <w:r w:rsidR="00F6408B">
        <w:t xml:space="preserve">that </w:t>
      </w:r>
      <w:r w:rsidR="002B65B8">
        <w:t xml:space="preserve">the </w:t>
      </w:r>
      <w:r>
        <w:t xml:space="preserve">parameter </w:t>
      </w:r>
      <w:r w:rsidRPr="0044675E">
        <w:rPr>
          <w:i/>
        </w:rPr>
        <w:t>SRS-SetUse</w:t>
      </w:r>
      <w:r>
        <w:t xml:space="preserve"> </w:t>
      </w:r>
      <w:r w:rsidR="00F6408B">
        <w:t xml:space="preserve">can take are </w:t>
      </w:r>
      <w:r w:rsidR="00022AE7">
        <w:t>‘</w:t>
      </w:r>
      <w:r w:rsidRPr="006166DE">
        <w:t>beamManagement</w:t>
      </w:r>
      <w:r w:rsidR="00022AE7">
        <w:t>’</w:t>
      </w:r>
      <w:r w:rsidRPr="006166DE">
        <w:t xml:space="preserve">, </w:t>
      </w:r>
      <w:r w:rsidR="00022AE7">
        <w:t>‘</w:t>
      </w:r>
      <w:r w:rsidRPr="006166DE">
        <w:t>codebook</w:t>
      </w:r>
      <w:r w:rsidR="00022AE7">
        <w:t>’</w:t>
      </w:r>
      <w:r w:rsidRPr="006166DE">
        <w:t xml:space="preserve">, </w:t>
      </w:r>
      <w:r w:rsidR="00022AE7">
        <w:t>‘</w:t>
      </w:r>
      <w:r w:rsidRPr="006166DE">
        <w:t>nonCodebook</w:t>
      </w:r>
      <w:r w:rsidR="00022AE7">
        <w:t>’</w:t>
      </w:r>
      <w:r w:rsidRPr="006166DE">
        <w:t xml:space="preserve">, </w:t>
      </w:r>
      <w:r w:rsidR="00022AE7">
        <w:t>‘</w:t>
      </w:r>
      <w:r>
        <w:t>A</w:t>
      </w:r>
      <w:r w:rsidRPr="006166DE">
        <w:t>ntennaSwitching</w:t>
      </w:r>
      <w:r w:rsidR="00022AE7">
        <w:t xml:space="preserve">’ </w:t>
      </w:r>
      <w:r w:rsidR="003C2BEB">
        <w:fldChar w:fldCharType="begin"/>
      </w:r>
      <w:r w:rsidR="003C2BEB">
        <w:instrText xml:space="preserve"> REF _Ref506553566 \r \h </w:instrText>
      </w:r>
      <w:r w:rsidR="00B91545">
        <w:instrText xml:space="preserve"> \* MERGEFORMAT </w:instrText>
      </w:r>
      <w:r w:rsidR="003C2BEB">
        <w:fldChar w:fldCharType="separate"/>
      </w:r>
      <w:r w:rsidR="003C2BEB">
        <w:t>[3]</w:t>
      </w:r>
      <w:r w:rsidR="003C2BEB">
        <w:fldChar w:fldCharType="end"/>
      </w:r>
      <w:r>
        <w:t>.</w:t>
      </w:r>
      <w:r w:rsidR="00686B88">
        <w:t xml:space="preserve"> Each of th</w:t>
      </w:r>
      <w:r w:rsidR="00C632A8">
        <w:t>e</w:t>
      </w:r>
      <w:r w:rsidR="00686B88">
        <w:t>s</w:t>
      </w:r>
      <w:r w:rsidR="00C632A8">
        <w:t>e</w:t>
      </w:r>
      <w:r w:rsidR="00686B88">
        <w:t xml:space="preserve"> values imposes a number of restriction</w:t>
      </w:r>
      <w:r w:rsidR="00954EC1">
        <w:t>s</w:t>
      </w:r>
      <w:r w:rsidR="00686B88">
        <w:t xml:space="preserve"> on the configuration and triggering of the SRS resources comprising the set.</w:t>
      </w:r>
    </w:p>
    <w:p w14:paraId="01D4D7CF" w14:textId="77777777" w:rsidR="003C2BEB" w:rsidRDefault="003C2BEB" w:rsidP="00B91545">
      <w:pPr>
        <w:overflowPunct/>
        <w:autoSpaceDE/>
        <w:autoSpaceDN/>
        <w:adjustRightInd/>
        <w:spacing w:after="0"/>
        <w:textAlignment w:val="auto"/>
      </w:pPr>
    </w:p>
    <w:p w14:paraId="11B8A269" w14:textId="09069DFB" w:rsidR="0044675E" w:rsidRDefault="0044675E" w:rsidP="00B91545">
      <w:pPr>
        <w:overflowPunct/>
        <w:autoSpaceDE/>
        <w:autoSpaceDN/>
        <w:adjustRightInd/>
        <w:spacing w:after="0"/>
        <w:textAlignment w:val="auto"/>
      </w:pPr>
      <w:r>
        <w:t xml:space="preserve">An important use case for </w:t>
      </w:r>
      <w:r w:rsidR="004A350D">
        <w:t xml:space="preserve">which </w:t>
      </w:r>
      <w:r w:rsidR="00A40DF0">
        <w:t xml:space="preserve">NR </w:t>
      </w:r>
      <w:r>
        <w:t xml:space="preserve">SRS </w:t>
      </w:r>
      <w:r w:rsidR="004A350D">
        <w:t xml:space="preserve">has been designed for </w:t>
      </w:r>
      <w:r>
        <w:t xml:space="preserve">is </w:t>
      </w:r>
      <w:r w:rsidR="004A350D">
        <w:t>to support reciprocity-based design of</w:t>
      </w:r>
      <w:r>
        <w:t xml:space="preserve"> </w:t>
      </w:r>
      <w:r w:rsidR="004A350D">
        <w:t xml:space="preserve">PDSCH precoder using the UL channel estimates. This use case is of particular relevance </w:t>
      </w:r>
      <w:r w:rsidR="00A40DF0">
        <w:t xml:space="preserve">to the upcoming </w:t>
      </w:r>
      <w:r w:rsidR="004A350D">
        <w:t xml:space="preserve">massive MIMO gNB </w:t>
      </w:r>
      <w:r w:rsidR="00A40DF0">
        <w:t xml:space="preserve">deployments in </w:t>
      </w:r>
      <w:r w:rsidR="004A350D">
        <w:t>the NR mid-</w:t>
      </w:r>
      <w:r w:rsidR="00022AE7">
        <w:t xml:space="preserve"> and high-</w:t>
      </w:r>
      <w:r w:rsidR="004A350D">
        <w:t xml:space="preserve">frequency bands operating in TDD mode. </w:t>
      </w:r>
      <w:r w:rsidR="00B91545">
        <w:t>In order to exploit the full potential of reciprocity-based DL precoding</w:t>
      </w:r>
      <w:r w:rsidR="005E0E76">
        <w:t xml:space="preserve">, sounding procedure has to support </w:t>
      </w:r>
      <w:r w:rsidR="00A40DF0">
        <w:t xml:space="preserve">estimation of the </w:t>
      </w:r>
      <w:r w:rsidR="005E0E76">
        <w:t xml:space="preserve">full </w:t>
      </w:r>
      <w:r w:rsidR="00A40DF0">
        <w:t xml:space="preserve">MIMO </w:t>
      </w:r>
      <w:r w:rsidR="00025F5A">
        <w:t xml:space="preserve">channel </w:t>
      </w:r>
      <w:r w:rsidR="00A40DF0">
        <w:t>mat</w:t>
      </w:r>
      <w:r w:rsidR="00022AE7">
        <w:t>rix. The SRS resource set usage ‘A</w:t>
      </w:r>
      <w:r w:rsidR="00022AE7" w:rsidRPr="006166DE">
        <w:t>ntennaSwitching</w:t>
      </w:r>
      <w:r w:rsidR="00022AE7">
        <w:t>’ has been specified to address exactly this use case</w:t>
      </w:r>
      <w:r w:rsidR="00347E78">
        <w:t>, but only</w:t>
      </w:r>
      <w:r w:rsidR="00022AE7">
        <w:t xml:space="preserve"> for</w:t>
      </w:r>
      <w:r w:rsidR="003157B7">
        <w:t xml:space="preserve"> three </w:t>
      </w:r>
      <w:r w:rsidR="00686B88">
        <w:t>specific</w:t>
      </w:r>
      <w:r w:rsidR="00347E78">
        <w:t xml:space="preserve"> UE</w:t>
      </w:r>
      <w:r w:rsidR="003157B7">
        <w:t xml:space="preserve"> </w:t>
      </w:r>
      <w:r w:rsidR="00022AE7">
        <w:t>capabilities</w:t>
      </w:r>
      <w:r w:rsidR="00025F5A">
        <w:t>:</w:t>
      </w:r>
      <w:r w:rsidR="003157B7">
        <w:t xml:space="preserve"> </w:t>
      </w:r>
      <w:r w:rsidR="00022AE7">
        <w:t xml:space="preserve">1T2R, 2T4R, and 1T4R. However, no </w:t>
      </w:r>
      <w:r w:rsidR="00347E78">
        <w:t>SRS resource set usage has been explicitly specified to support reciprocity-based DL precoding for UEs with balanced numbers of TX and RX chains</w:t>
      </w:r>
      <w:r w:rsidR="00D84C94">
        <w:t>, e.g.</w:t>
      </w:r>
      <w:r w:rsidR="00DD6875">
        <w:t>,</w:t>
      </w:r>
      <w:r w:rsidR="00D84C94">
        <w:t xml:space="preserve"> 4T4R</w:t>
      </w:r>
      <w:r w:rsidR="00A97288">
        <w:t xml:space="preserve"> or 2T2R</w:t>
      </w:r>
      <w:r w:rsidR="00347E78">
        <w:t xml:space="preserve">. </w:t>
      </w:r>
      <w:r w:rsidR="00D84C94">
        <w:t>This is a relevant UE capability as codebook-based and non-codebook</w:t>
      </w:r>
      <w:r w:rsidR="00954EC1">
        <w:t>-</w:t>
      </w:r>
      <w:r w:rsidR="00D84C94">
        <w:t xml:space="preserve">based precoding of PUSCH has been specified using up to four antenna ports </w:t>
      </w:r>
      <w:r w:rsidR="00F27975">
        <w:fldChar w:fldCharType="begin"/>
      </w:r>
      <w:r w:rsidR="00F27975">
        <w:instrText xml:space="preserve"> REF _Ref503285570 \r \h </w:instrText>
      </w:r>
      <w:r w:rsidR="00F27975">
        <w:fldChar w:fldCharType="separate"/>
      </w:r>
      <w:r w:rsidR="00F27975">
        <w:t>[1]</w:t>
      </w:r>
      <w:r w:rsidR="00F27975">
        <w:fldChar w:fldCharType="end"/>
      </w:r>
      <w:r w:rsidR="00A97288">
        <w:t>,</w:t>
      </w:r>
      <w:r w:rsidR="00F27975">
        <w:t xml:space="preserve"> </w:t>
      </w:r>
      <w:r w:rsidR="00D84C94">
        <w:t xml:space="preserve">and </w:t>
      </w:r>
      <w:r w:rsidR="00F27975">
        <w:t>it was decided in the last RAN plenary</w:t>
      </w:r>
      <w:r w:rsidR="00D84C94">
        <w:t xml:space="preserve"> </w:t>
      </w:r>
      <w:r w:rsidR="00F27975">
        <w:t xml:space="preserve">that four </w:t>
      </w:r>
      <w:r w:rsidR="00D84C94">
        <w:t>R</w:t>
      </w:r>
      <w:r w:rsidR="00F27975">
        <w:t>X</w:t>
      </w:r>
      <w:r w:rsidR="00D84C94">
        <w:t xml:space="preserve"> is</w:t>
      </w:r>
      <w:r w:rsidR="003157B7">
        <w:t xml:space="preserve"> a</w:t>
      </w:r>
      <w:r w:rsidR="00D84C94">
        <w:t xml:space="preserve"> mandatory </w:t>
      </w:r>
      <w:r w:rsidR="00F27975">
        <w:t xml:space="preserve">UE capability </w:t>
      </w:r>
      <w:r w:rsidR="00025F5A">
        <w:t>for</w:t>
      </w:r>
      <w:r w:rsidR="00F27975">
        <w:t xml:space="preserve"> </w:t>
      </w:r>
      <w:r w:rsidR="00A2004D">
        <w:t>several</w:t>
      </w:r>
      <w:r w:rsidR="00F27975">
        <w:t xml:space="preserve"> </w:t>
      </w:r>
      <w:r w:rsidR="00025F5A">
        <w:t xml:space="preserve">frequency </w:t>
      </w:r>
      <w:r w:rsidR="00F27975">
        <w:t xml:space="preserve">bands. </w:t>
      </w:r>
    </w:p>
    <w:p w14:paraId="26D9CB97" w14:textId="77777777" w:rsidR="00DD6875" w:rsidRDefault="00DD6875" w:rsidP="00B91545">
      <w:pPr>
        <w:overflowPunct/>
        <w:autoSpaceDE/>
        <w:autoSpaceDN/>
        <w:adjustRightInd/>
        <w:spacing w:after="0"/>
        <w:textAlignment w:val="auto"/>
      </w:pPr>
    </w:p>
    <w:p w14:paraId="26C4994A" w14:textId="512C0B8D" w:rsidR="00025F5A" w:rsidRDefault="009E1087" w:rsidP="00B91545">
      <w:pPr>
        <w:rPr>
          <w:color w:val="000000"/>
        </w:rPr>
      </w:pPr>
      <w:r>
        <w:rPr>
          <w:color w:val="000000"/>
        </w:rPr>
        <w:t>In principle, the SRS resource set usages designed for UL MIMO</w:t>
      </w:r>
      <w:r w:rsidR="005954EC">
        <w:rPr>
          <w:color w:val="000000"/>
        </w:rPr>
        <w:t xml:space="preserve">, i.e., </w:t>
      </w:r>
      <w:r w:rsidR="005954EC">
        <w:t>‘</w:t>
      </w:r>
      <w:r w:rsidR="005954EC" w:rsidRPr="006166DE">
        <w:t>codebook</w:t>
      </w:r>
      <w:r w:rsidR="005954EC">
        <w:t>’ or ‘</w:t>
      </w:r>
      <w:r w:rsidR="005954EC" w:rsidRPr="006166DE">
        <w:t>nonCodebook</w:t>
      </w:r>
      <w:r w:rsidR="005954EC">
        <w:t>’</w:t>
      </w:r>
      <w:r>
        <w:rPr>
          <w:color w:val="000000"/>
        </w:rPr>
        <w:t xml:space="preserve"> </w:t>
      </w:r>
      <w:r w:rsidR="00410C99">
        <w:rPr>
          <w:color w:val="000000"/>
        </w:rPr>
        <w:t>could</w:t>
      </w:r>
      <w:r>
        <w:rPr>
          <w:color w:val="000000"/>
        </w:rPr>
        <w:t xml:space="preserve"> be reused for the use case of reciprocity-based DL precoding. </w:t>
      </w:r>
      <w:r w:rsidR="005954EC">
        <w:rPr>
          <w:color w:val="000000"/>
        </w:rPr>
        <w:t xml:space="preserve">The problem is that in both of those usages, </w:t>
      </w:r>
      <w:r w:rsidR="00A97288">
        <w:rPr>
          <w:color w:val="000000"/>
        </w:rPr>
        <w:t xml:space="preserve">the current specifications restrict </w:t>
      </w:r>
      <w:r w:rsidR="005954EC" w:rsidRPr="0048482F">
        <w:rPr>
          <w:color w:val="000000"/>
        </w:rPr>
        <w:t xml:space="preserve">the UE </w:t>
      </w:r>
      <w:r w:rsidR="00A97288">
        <w:rPr>
          <w:color w:val="000000"/>
        </w:rPr>
        <w:t>to</w:t>
      </w:r>
      <w:r w:rsidR="005954EC" w:rsidRPr="0048482F">
        <w:rPr>
          <w:color w:val="000000"/>
        </w:rPr>
        <w:t xml:space="preserve"> be configured with </w:t>
      </w:r>
      <w:r w:rsidR="00A2004D">
        <w:rPr>
          <w:color w:val="000000"/>
        </w:rPr>
        <w:t xml:space="preserve">only one </w:t>
      </w:r>
      <w:r w:rsidR="005954EC" w:rsidRPr="0048482F">
        <w:rPr>
          <w:color w:val="000000"/>
        </w:rPr>
        <w:t>SRS resource</w:t>
      </w:r>
      <w:r w:rsidR="005954EC">
        <w:rPr>
          <w:color w:val="000000"/>
        </w:rPr>
        <w:t xml:space="preserve"> set</w:t>
      </w:r>
      <w:r w:rsidR="00A97288">
        <w:rPr>
          <w:color w:val="000000"/>
        </w:rPr>
        <w:t>. Moreover,</w:t>
      </w:r>
      <w:r w:rsidR="005954EC">
        <w:rPr>
          <w:color w:val="000000"/>
        </w:rPr>
        <w:t xml:space="preserve"> the configurations suited for UL MIMO </w:t>
      </w:r>
      <w:r w:rsidR="00676C78">
        <w:rPr>
          <w:color w:val="000000"/>
        </w:rPr>
        <w:t xml:space="preserve">can be quite different from the ones supporting </w:t>
      </w:r>
      <w:r w:rsidR="005954EC">
        <w:rPr>
          <w:color w:val="000000"/>
        </w:rPr>
        <w:t xml:space="preserve">full channel acquisition </w:t>
      </w:r>
      <w:r w:rsidR="00676C78">
        <w:rPr>
          <w:color w:val="000000"/>
        </w:rPr>
        <w:t>for reciprocity-based DL precoding</w:t>
      </w:r>
      <w:r w:rsidR="005954EC">
        <w:rPr>
          <w:color w:val="000000"/>
        </w:rPr>
        <w:t>. Specifically, w</w:t>
      </w:r>
      <w:r w:rsidRPr="0048482F">
        <w:rPr>
          <w:color w:val="000000"/>
        </w:rPr>
        <w:t xml:space="preserve">hen the </w:t>
      </w:r>
      <w:r>
        <w:rPr>
          <w:color w:val="000000"/>
        </w:rPr>
        <w:t xml:space="preserve">parameter </w:t>
      </w:r>
      <w:r w:rsidRPr="0048482F">
        <w:rPr>
          <w:i/>
          <w:color w:val="000000"/>
        </w:rPr>
        <w:t xml:space="preserve">SRS-SetUse </w:t>
      </w:r>
      <w:r>
        <w:rPr>
          <w:color w:val="000000"/>
        </w:rPr>
        <w:t xml:space="preserve">is configured to </w:t>
      </w:r>
      <w:r>
        <w:t>‘</w:t>
      </w:r>
      <w:r w:rsidRPr="006166DE">
        <w:t>nonCodebook</w:t>
      </w:r>
      <w:r>
        <w:t xml:space="preserve">’, </w:t>
      </w:r>
      <w:r w:rsidRPr="00F65528">
        <w:rPr>
          <w:lang w:eastAsia="x-none"/>
        </w:rPr>
        <w:t>only one SRS port per SRS resource can be configured</w:t>
      </w:r>
      <w:r w:rsidR="00DC29BC">
        <w:rPr>
          <w:lang w:eastAsia="x-none"/>
        </w:rPr>
        <w:t>. That is</w:t>
      </w:r>
      <w:r>
        <w:rPr>
          <w:lang w:eastAsia="x-none"/>
        </w:rPr>
        <w:t>,</w:t>
      </w:r>
      <w:r w:rsidRPr="00F65528">
        <w:rPr>
          <w:lang w:eastAsia="x-none"/>
        </w:rPr>
        <w:t xml:space="preserve"> </w:t>
      </w:r>
      <w:r>
        <w:t xml:space="preserve">the SRS resources are </w:t>
      </w:r>
      <w:r w:rsidR="00A97288">
        <w:t xml:space="preserve">typically </w:t>
      </w:r>
      <w:r>
        <w:t>precoded</w:t>
      </w:r>
      <w:r w:rsidR="00DC29BC">
        <w:t xml:space="preserve"> and this precoding is transparent to </w:t>
      </w:r>
      <w:r w:rsidR="00A97288">
        <w:t xml:space="preserve">the </w:t>
      </w:r>
      <w:r w:rsidR="00DC29BC">
        <w:t>gNB.</w:t>
      </w:r>
      <w:r w:rsidR="005954EC">
        <w:t xml:space="preserve"> </w:t>
      </w:r>
      <w:r w:rsidR="0068517E">
        <w:t>Furthermore</w:t>
      </w:r>
      <w:r w:rsidR="005954EC">
        <w:t xml:space="preserve">, SRI </w:t>
      </w:r>
      <w:r w:rsidR="00DC29BC">
        <w:t>determines</w:t>
      </w:r>
      <w:r w:rsidR="005954EC">
        <w:t xml:space="preserve"> the number of </w:t>
      </w:r>
      <w:r w:rsidR="00DC29BC">
        <w:t>PUSCH</w:t>
      </w:r>
      <w:r w:rsidR="005954EC">
        <w:t xml:space="preserve"> </w:t>
      </w:r>
      <w:r w:rsidR="00DC29BC">
        <w:t>layers.</w:t>
      </w:r>
    </w:p>
    <w:p w14:paraId="4CB2064A" w14:textId="3429ABFB" w:rsidR="0068517E" w:rsidRDefault="00507994" w:rsidP="00B91545">
      <w:r>
        <w:rPr>
          <w:color w:val="000000"/>
        </w:rPr>
        <w:t xml:space="preserve">In </w:t>
      </w:r>
      <w:r w:rsidR="006942DA">
        <w:rPr>
          <w:color w:val="000000"/>
        </w:rPr>
        <w:t>contrast</w:t>
      </w:r>
      <w:r>
        <w:rPr>
          <w:color w:val="000000"/>
        </w:rPr>
        <w:t>, w</w:t>
      </w:r>
      <w:r w:rsidR="00D97202" w:rsidRPr="0048482F">
        <w:rPr>
          <w:color w:val="000000"/>
        </w:rPr>
        <w:t xml:space="preserve">hen the </w:t>
      </w:r>
      <w:r w:rsidR="00D97202">
        <w:rPr>
          <w:color w:val="000000"/>
        </w:rPr>
        <w:t xml:space="preserve">parameter </w:t>
      </w:r>
      <w:r w:rsidR="00D97202" w:rsidRPr="0048482F">
        <w:rPr>
          <w:i/>
          <w:color w:val="000000"/>
        </w:rPr>
        <w:t xml:space="preserve">SRS-SetUse </w:t>
      </w:r>
      <w:r w:rsidR="00D97202">
        <w:rPr>
          <w:color w:val="000000"/>
        </w:rPr>
        <w:t xml:space="preserve">is set to </w:t>
      </w:r>
      <w:r w:rsidR="00D97202">
        <w:t>‘</w:t>
      </w:r>
      <w:r w:rsidR="00D97202" w:rsidRPr="006166DE">
        <w:t>Codebook</w:t>
      </w:r>
      <w:r w:rsidR="00D97202">
        <w:t>’</w:t>
      </w:r>
      <w:r w:rsidR="00A2004D">
        <w:t>,</w:t>
      </w:r>
      <w:r w:rsidR="00417D75">
        <w:t xml:space="preserve"> a separate SRS port is configured per antenna port</w:t>
      </w:r>
      <w:r w:rsidR="00A2004D">
        <w:t xml:space="preserve"> and all of them are mapped to the same SRS resource.</w:t>
      </w:r>
      <w:r w:rsidR="00417D75">
        <w:t xml:space="preserve"> </w:t>
      </w:r>
      <w:r w:rsidR="00A2004D">
        <w:t>S</w:t>
      </w:r>
      <w:r w:rsidR="00417D75">
        <w:t>o</w:t>
      </w:r>
      <w:r w:rsidR="00A2004D">
        <w:t xml:space="preserve">, </w:t>
      </w:r>
      <w:r>
        <w:t xml:space="preserve">in principle, the </w:t>
      </w:r>
      <w:r w:rsidR="00A2004D">
        <w:t xml:space="preserve">gNB </w:t>
      </w:r>
      <w:r w:rsidR="0068517E">
        <w:t>could</w:t>
      </w:r>
      <w:r w:rsidR="00A2004D">
        <w:t xml:space="preserve"> estimate</w:t>
      </w:r>
      <w:r w:rsidR="00417D75">
        <w:t xml:space="preserve"> the full channel </w:t>
      </w:r>
      <w:r w:rsidR="00A2004D">
        <w:t>matrix</w:t>
      </w:r>
      <w:r w:rsidR="0068517E">
        <w:t>, if at most one SRS resource is configured in the set.</w:t>
      </w:r>
      <w:r w:rsidR="00410C99" w:rsidRPr="00410C99">
        <w:rPr>
          <w:color w:val="000000"/>
        </w:rPr>
        <w:t xml:space="preserve"> </w:t>
      </w:r>
      <w:r w:rsidR="00410C99">
        <w:rPr>
          <w:color w:val="000000"/>
        </w:rPr>
        <w:t>However, w</w:t>
      </w:r>
      <w:r w:rsidR="00410C99">
        <w:rPr>
          <w:color w:val="000000"/>
        </w:rPr>
        <w:t xml:space="preserve">hen </w:t>
      </w:r>
      <w:r w:rsidR="00410C99">
        <w:rPr>
          <w:color w:val="000000"/>
        </w:rPr>
        <w:t xml:space="preserve">a single </w:t>
      </w:r>
      <w:r w:rsidR="00410C99">
        <w:rPr>
          <w:color w:val="000000"/>
        </w:rPr>
        <w:t>resource is configured, it is overly restrictive to have to rely on the same configuration</w:t>
      </w:r>
      <w:r w:rsidR="00410C99" w:rsidRPr="001E2D82">
        <w:rPr>
          <w:color w:val="000000"/>
        </w:rPr>
        <w:t xml:space="preserve"> </w:t>
      </w:r>
      <w:r w:rsidR="00410C99">
        <w:rPr>
          <w:color w:val="000000"/>
        </w:rPr>
        <w:t>for determining both PUSCH codebook-based and reciprocity based PDSCH beamforming, as the channel estimation requirements of these two use cases can be quite different. For example, for PUSCH precoding it may be sufficient to configure the resource as aperiodic with frequency hopping disabled, but for reciprocity-based PDSCH beamforming, a more suitable configuration could be periodic or semi-persistent with frequency hopping enabled, to support better channel estimation and reduce channel aging effects.</w:t>
      </w:r>
      <w:r w:rsidR="00410C99">
        <w:t xml:space="preserve"> We note that c</w:t>
      </w:r>
      <w:r w:rsidR="0068517E">
        <w:t>odebook</w:t>
      </w:r>
      <w:r w:rsidR="00410C99">
        <w:t>-</w:t>
      </w:r>
      <w:r w:rsidR="0068517E">
        <w:t xml:space="preserve">based operation </w:t>
      </w:r>
      <w:r w:rsidR="00410C99">
        <w:t xml:space="preserve">also </w:t>
      </w:r>
      <w:r w:rsidR="0068517E">
        <w:t xml:space="preserve">allows </w:t>
      </w:r>
      <w:r w:rsidR="00001351">
        <w:t>two</w:t>
      </w:r>
      <w:r w:rsidR="0068517E">
        <w:t xml:space="preserve"> SRS resources to be configured in a set, in which case SRI selects one of them for transmission, e.g., to support panel selection. For DL reciprocity based operation, if multiple SRS </w:t>
      </w:r>
      <w:r w:rsidR="0068517E">
        <w:lastRenderedPageBreak/>
        <w:t xml:space="preserve">resources in a set are configured, e.g., to improve channel estimation, SRI should not be used. </w:t>
      </w:r>
      <w:r w:rsidR="00410C99">
        <w:t>For the above reasons,</w:t>
      </w:r>
      <w:r w:rsidR="0068517E">
        <w:t xml:space="preserve"> </w:t>
      </w:r>
      <w:r w:rsidR="00410C99">
        <w:t xml:space="preserve">neither ‘codebook nor ‘nonCodebook’ configuration of </w:t>
      </w:r>
      <w:r w:rsidR="0068517E" w:rsidRPr="0068517E">
        <w:rPr>
          <w:i/>
        </w:rPr>
        <w:t>SRS-SetUSe</w:t>
      </w:r>
      <w:r w:rsidR="0068517E">
        <w:t xml:space="preserve">  is appropriate for DL reciprocity-based operation.</w:t>
      </w:r>
    </w:p>
    <w:p w14:paraId="48D29E0A" w14:textId="46CFAC18" w:rsidR="00954EC1" w:rsidRPr="0048482F" w:rsidRDefault="00410C99" w:rsidP="00CF1BF0">
      <w:pPr>
        <w:rPr>
          <w:color w:val="000000"/>
        </w:rPr>
      </w:pPr>
      <w:r>
        <w:rPr>
          <w:color w:val="000000"/>
        </w:rPr>
        <w:t>W</w:t>
      </w:r>
      <w:r w:rsidR="00CF1BF0" w:rsidRPr="0048482F">
        <w:rPr>
          <w:color w:val="000000"/>
        </w:rPr>
        <w:t>hen the parameter</w:t>
      </w:r>
      <w:r w:rsidR="00CF1BF0" w:rsidRPr="0048482F">
        <w:rPr>
          <w:i/>
          <w:color w:val="000000"/>
        </w:rPr>
        <w:t xml:space="preserve"> SRS-SetUse </w:t>
      </w:r>
      <w:r w:rsidR="00CF1BF0" w:rsidRPr="0048482F">
        <w:rPr>
          <w:color w:val="000000"/>
        </w:rPr>
        <w:t xml:space="preserve">is set to </w:t>
      </w:r>
      <w:r w:rsidR="00CF1BF0">
        <w:rPr>
          <w:color w:val="000000"/>
        </w:rPr>
        <w:t>'</w:t>
      </w:r>
      <w:r w:rsidR="00CF1BF0" w:rsidRPr="0048482F">
        <w:rPr>
          <w:color w:val="000000"/>
        </w:rPr>
        <w:t>BeamManagement</w:t>
      </w:r>
      <w:r w:rsidR="00CF1BF0">
        <w:rPr>
          <w:color w:val="000000"/>
        </w:rPr>
        <w:t>'</w:t>
      </w:r>
      <w:r w:rsidR="00CF1BF0" w:rsidRPr="0048482F">
        <w:rPr>
          <w:i/>
          <w:color w:val="000000"/>
        </w:rPr>
        <w:t xml:space="preserve">, </w:t>
      </w:r>
      <w:r w:rsidR="00025F5A">
        <w:t>a</w:t>
      </w:r>
      <w:r w:rsidR="00ED2215">
        <w:t xml:space="preserve"> t</w:t>
      </w:r>
      <w:r w:rsidR="00C46723">
        <w:t>ypical</w:t>
      </w:r>
      <w:r w:rsidR="00ED2215">
        <w:t xml:space="preserve"> set configuration</w:t>
      </w:r>
      <w:r w:rsidR="00C46723">
        <w:t xml:space="preserve"> would consist of multiple single-symbol, 1-port, SRS resources without frequency hopping where each resource is in a different symbol of the slot</w:t>
      </w:r>
      <w:r w:rsidR="00025F5A">
        <w:t>, and may be beamformed differently in each symbol.</w:t>
      </w:r>
      <w:r w:rsidR="00C46723">
        <w:t xml:space="preserve"> This allows either a UE Tx or gNB Rx beam sweep. Clearly, this is not suitable configuration for the reciprocity use case</w:t>
      </w:r>
      <w:r>
        <w:t xml:space="preserve"> either.</w:t>
      </w:r>
    </w:p>
    <w:p w14:paraId="7F73B6C9" w14:textId="50C8A8D0" w:rsidR="001A77C2" w:rsidRDefault="001A77C2" w:rsidP="001A77C2">
      <w:pPr>
        <w:pStyle w:val="Observation"/>
      </w:pPr>
      <w:bookmarkStart w:id="2" w:name="_Toc498091959"/>
      <w:bookmarkStart w:id="3" w:name="_Toc506563959"/>
      <w:bookmarkStart w:id="4" w:name="_Toc506563980"/>
      <w:bookmarkStart w:id="5" w:name="_Toc506564009"/>
      <w:bookmarkStart w:id="6" w:name="_Toc506572872"/>
      <w:r w:rsidRPr="001A77C2">
        <w:t xml:space="preserve">The parameter </w:t>
      </w:r>
      <w:r w:rsidRPr="005020E7">
        <w:rPr>
          <w:i/>
        </w:rPr>
        <w:t>SRS-SetUse</w:t>
      </w:r>
      <w:r w:rsidRPr="001A77C2">
        <w:t xml:space="preserve"> </w:t>
      </w:r>
      <w:r w:rsidR="00CF7265">
        <w:t xml:space="preserve">does not have a configuration </w:t>
      </w:r>
      <w:r w:rsidR="00410C99">
        <w:t>well-</w:t>
      </w:r>
      <w:r w:rsidR="00335FCE">
        <w:t xml:space="preserve">suited </w:t>
      </w:r>
      <w:r w:rsidR="00BA1030">
        <w:t xml:space="preserve">to </w:t>
      </w:r>
      <w:r w:rsidRPr="001A77C2">
        <w:t xml:space="preserve">support </w:t>
      </w:r>
      <w:r w:rsidR="005020E7">
        <w:t xml:space="preserve">sounding of the </w:t>
      </w:r>
      <w:r w:rsidR="005020E7" w:rsidRPr="001A77C2">
        <w:t xml:space="preserve">full </w:t>
      </w:r>
      <w:r w:rsidR="005020E7">
        <w:t>MIMO</w:t>
      </w:r>
      <w:r w:rsidR="005020E7" w:rsidRPr="001A77C2">
        <w:t xml:space="preserve"> </w:t>
      </w:r>
      <w:r w:rsidR="005020E7">
        <w:t>channel</w:t>
      </w:r>
      <w:r w:rsidR="005020E7" w:rsidRPr="001A77C2">
        <w:t xml:space="preserve"> </w:t>
      </w:r>
      <w:r w:rsidR="00BA1030" w:rsidRPr="001A77C2">
        <w:t>when T = R</w:t>
      </w:r>
      <w:r w:rsidRPr="001A77C2">
        <w:t xml:space="preserve"> for the use case of reciprocity-based DL precoding.</w:t>
      </w:r>
      <w:bookmarkEnd w:id="2"/>
      <w:bookmarkEnd w:id="3"/>
      <w:bookmarkEnd w:id="4"/>
      <w:bookmarkEnd w:id="5"/>
      <w:bookmarkEnd w:id="6"/>
    </w:p>
    <w:p w14:paraId="5AA9A1FB" w14:textId="1977E963" w:rsidR="008A5C9A" w:rsidRPr="005020E7" w:rsidRDefault="008A5C9A" w:rsidP="00ED7EFC">
      <w:pPr>
        <w:pStyle w:val="BodyText"/>
        <w:rPr>
          <w:b/>
          <w:lang w:val="en-US" w:eastAsia="en-US"/>
        </w:rPr>
      </w:pPr>
      <w:bookmarkStart w:id="7" w:name="_Toc506563960"/>
      <w:r>
        <w:t xml:space="preserve">To overcome this issue, two </w:t>
      </w:r>
      <w:r w:rsidR="0068517E">
        <w:t>alternative</w:t>
      </w:r>
      <w:r>
        <w:t xml:space="preserve"> solutions can be envisioned. One</w:t>
      </w:r>
      <w:r w:rsidRPr="008A5C9A">
        <w:t xml:space="preserve"> </w:t>
      </w:r>
      <w:r>
        <w:t>solution</w:t>
      </w:r>
      <w:r w:rsidRPr="008A5C9A">
        <w:t xml:space="preserve"> could be to </w:t>
      </w:r>
      <w:r>
        <w:t xml:space="preserve">extend the usage of the </w:t>
      </w:r>
      <w:r w:rsidRPr="008A5C9A">
        <w:rPr>
          <w:i/>
        </w:rPr>
        <w:t>SRS-SetUse</w:t>
      </w:r>
      <w:r w:rsidRPr="008A5C9A">
        <w:t xml:space="preserve"> </w:t>
      </w:r>
      <w:r>
        <w:t>parameter value</w:t>
      </w:r>
      <w:r w:rsidRPr="008A5C9A">
        <w:t xml:space="preserve"> </w:t>
      </w:r>
      <w:r>
        <w:t>‘</w:t>
      </w:r>
      <w:r w:rsidRPr="008A5C9A">
        <w:t>AntennaSwitching</w:t>
      </w:r>
      <w:r>
        <w:t>’</w:t>
      </w:r>
      <w:r w:rsidR="003E6E72">
        <w:t xml:space="preserve">, </w:t>
      </w:r>
      <w:r w:rsidR="00AE4B61">
        <w:t xml:space="preserve">which is already used for estimating the full MIMO matrix for the cases of </w:t>
      </w:r>
      <w:r w:rsidR="00AE4B61" w:rsidRPr="00AE4B61">
        <w:t>1T2R, 2T4R, and 1T4R</w:t>
      </w:r>
      <w:r w:rsidR="00AE4B61">
        <w:t xml:space="preserve">, to also </w:t>
      </w:r>
      <w:r w:rsidR="00521844">
        <w:t>support</w:t>
      </w:r>
      <w:r w:rsidR="00AE4B61">
        <w:t xml:space="preserve"> the case</w:t>
      </w:r>
      <w:r w:rsidRPr="008A5C9A">
        <w:t xml:space="preserve"> </w:t>
      </w:r>
      <w:r w:rsidR="00AE4B61" w:rsidRPr="008A5C9A">
        <w:t>whe</w:t>
      </w:r>
      <w:r w:rsidR="00AE4B61">
        <w:t>n</w:t>
      </w:r>
      <w:r w:rsidR="00AE4B61" w:rsidRPr="008A5C9A">
        <w:t xml:space="preserve"> T = R</w:t>
      </w:r>
      <w:r w:rsidR="00AE4B61">
        <w:t xml:space="preserve">. </w:t>
      </w:r>
      <w:r w:rsidR="00AE4B61" w:rsidRPr="00AE4B61">
        <w:t>The</w:t>
      </w:r>
      <w:r w:rsidR="003E6E72">
        <w:t xml:space="preserve"> merit of this solution is that it does not have </w:t>
      </w:r>
      <w:r w:rsidR="00E53998">
        <w:t xml:space="preserve">an </w:t>
      </w:r>
      <w:r w:rsidR="003E6E72">
        <w:t xml:space="preserve">impact in RRC, but </w:t>
      </w:r>
      <w:r w:rsidR="00E53998">
        <w:t xml:space="preserve">it </w:t>
      </w:r>
      <w:r w:rsidR="003E6E72">
        <w:t xml:space="preserve">only requires </w:t>
      </w:r>
      <w:r w:rsidR="00521844">
        <w:t xml:space="preserve">a simple text </w:t>
      </w:r>
      <w:r w:rsidR="003E6E72">
        <w:t>add</w:t>
      </w:r>
      <w:r w:rsidR="00521844">
        <w:t>ition</w:t>
      </w:r>
      <w:r w:rsidR="00335FCE">
        <w:t xml:space="preserve"> </w:t>
      </w:r>
      <w:r w:rsidR="003E6E72">
        <w:t>at the top of Section 6.2.1.2 of TS</w:t>
      </w:r>
      <w:r w:rsidR="00AE4B61" w:rsidRPr="00AE4B61">
        <w:t xml:space="preserve"> 38.214</w:t>
      </w:r>
      <w:r w:rsidR="003E6E72">
        <w:t xml:space="preserve"> </w:t>
      </w:r>
      <w:r w:rsidR="003E6E72">
        <w:rPr>
          <w:b/>
        </w:rPr>
        <w:fldChar w:fldCharType="begin"/>
      </w:r>
      <w:r w:rsidR="003E6E72">
        <w:instrText xml:space="preserve"> REF _Ref506553144 \r \h </w:instrText>
      </w:r>
      <w:r w:rsidR="003E6E72">
        <w:rPr>
          <w:b/>
        </w:rPr>
      </w:r>
      <w:r w:rsidR="003E6E72">
        <w:rPr>
          <w:b/>
        </w:rPr>
        <w:fldChar w:fldCharType="separate"/>
      </w:r>
      <w:r w:rsidR="003E6E72">
        <w:t>[2]</w:t>
      </w:r>
      <w:r w:rsidR="003E6E72">
        <w:rPr>
          <w:b/>
        </w:rPr>
        <w:fldChar w:fldCharType="end"/>
      </w:r>
      <w:r w:rsidR="00521844">
        <w:t xml:space="preserve"> to introduce an additional case for T = R</w:t>
      </w:r>
      <w:r w:rsidR="00335FCE">
        <w:t>.</w:t>
      </w:r>
      <w:r w:rsidR="00521844">
        <w:t xml:space="preserve"> </w:t>
      </w:r>
      <w:r w:rsidR="00AE4B61" w:rsidRPr="00AE4B61">
        <w:t xml:space="preserve">Another solution could be </w:t>
      </w:r>
      <w:r w:rsidR="00E53998">
        <w:t>to</w:t>
      </w:r>
      <w:r w:rsidR="0050381C">
        <w:t xml:space="preserve"> </w:t>
      </w:r>
      <w:r w:rsidR="00AE4B61">
        <w:t>specif</w:t>
      </w:r>
      <w:r w:rsidR="0050381C">
        <w:t>y</w:t>
      </w:r>
      <w:r w:rsidR="00AE4B61">
        <w:t xml:space="preserve"> </w:t>
      </w:r>
      <w:r w:rsidRPr="00AE4B61">
        <w:t xml:space="preserve">an additional value for </w:t>
      </w:r>
      <w:r w:rsidRPr="0050381C">
        <w:rPr>
          <w:i/>
        </w:rPr>
        <w:t>SRS-SetUse</w:t>
      </w:r>
      <w:r w:rsidR="005020E7" w:rsidRPr="005020E7">
        <w:t xml:space="preserve">, </w:t>
      </w:r>
      <w:r w:rsidR="005020E7">
        <w:t>e.g. named ‘fullChannel’,</w:t>
      </w:r>
      <w:r w:rsidR="0050381C">
        <w:t xml:space="preserve"> </w:t>
      </w:r>
      <w:r w:rsidR="00E53998">
        <w:t xml:space="preserve">specifically to </w:t>
      </w:r>
      <w:r w:rsidR="00E53998" w:rsidRPr="00E53998">
        <w:t>support sounding of the full MIMO channel when T = R for the use case of reciprocity-based DL precoding</w:t>
      </w:r>
      <w:r w:rsidR="00E53998">
        <w:t>.</w:t>
      </w:r>
      <w:r w:rsidR="00E53998" w:rsidRPr="00E53998">
        <w:t xml:space="preserve"> </w:t>
      </w:r>
      <w:r w:rsidR="0050381C">
        <w:t>The merit of</w:t>
      </w:r>
      <w:r w:rsidRPr="00AE4B61">
        <w:t xml:space="preserve"> </w:t>
      </w:r>
      <w:r w:rsidR="00E53998" w:rsidRPr="00AE4B61">
        <w:t>t</w:t>
      </w:r>
      <w:r w:rsidR="00E53998">
        <w:t xml:space="preserve">his solution is that it is clean-cut, whereas its drawback is that it has an impact to </w:t>
      </w:r>
      <w:r w:rsidRPr="00AE4B61">
        <w:t>RRC</w:t>
      </w:r>
      <w:bookmarkEnd w:id="7"/>
      <w:r w:rsidR="0068517E">
        <w:t>, albeit small. Only a new value is needed; not a new parameter.</w:t>
      </w:r>
      <w:r w:rsidRPr="00AE4B61">
        <w:t xml:space="preserve"> </w:t>
      </w:r>
    </w:p>
    <w:p w14:paraId="184DC6E3" w14:textId="64A3ACA0" w:rsidR="00025F5A" w:rsidRPr="00025F5A" w:rsidRDefault="005020E7" w:rsidP="00025F5A">
      <w:pPr>
        <w:pStyle w:val="Proposal"/>
      </w:pPr>
      <w:bookmarkStart w:id="8" w:name="_Toc492554353"/>
      <w:bookmarkStart w:id="9" w:name="_Toc492554531"/>
      <w:bookmarkStart w:id="10" w:name="_Toc498092135"/>
      <w:bookmarkStart w:id="11" w:name="_Toc506563962"/>
      <w:bookmarkStart w:id="12" w:name="_Toc506564011"/>
      <w:bookmarkStart w:id="13" w:name="_Toc506572869"/>
      <w:r>
        <w:t>Introduce</w:t>
      </w:r>
      <w:r w:rsidR="008A5C9A">
        <w:t xml:space="preserve"> a</w:t>
      </w:r>
      <w:r w:rsidR="00521844">
        <w:t>n</w:t>
      </w:r>
      <w:r w:rsidR="008A5C9A">
        <w:t xml:space="preserve"> </w:t>
      </w:r>
      <w:r w:rsidR="00521844">
        <w:t xml:space="preserve">SRS set </w:t>
      </w:r>
      <w:r>
        <w:t xml:space="preserve">configuration </w:t>
      </w:r>
      <w:bookmarkEnd w:id="8"/>
      <w:bookmarkEnd w:id="9"/>
      <w:bookmarkEnd w:id="10"/>
      <w:r w:rsidR="008A5C9A">
        <w:t xml:space="preserve">to </w:t>
      </w:r>
      <w:r w:rsidR="008A5C9A" w:rsidRPr="001A77C2">
        <w:t xml:space="preserve">support </w:t>
      </w:r>
      <w:r>
        <w:t xml:space="preserve">sounding of the </w:t>
      </w:r>
      <w:r w:rsidR="008A5C9A" w:rsidRPr="001A77C2">
        <w:t xml:space="preserve">full </w:t>
      </w:r>
      <w:r>
        <w:t>MIMO</w:t>
      </w:r>
      <w:r w:rsidR="008A5C9A" w:rsidRPr="001A77C2">
        <w:t xml:space="preserve"> </w:t>
      </w:r>
      <w:r>
        <w:t>channel</w:t>
      </w:r>
      <w:r w:rsidR="008A5C9A" w:rsidRPr="001A77C2">
        <w:t xml:space="preserve"> when</w:t>
      </w:r>
      <w:r w:rsidR="00521844">
        <w:t xml:space="preserve"> the number of UE transmit antennas equals the number of UE receive antennas</w:t>
      </w:r>
      <w:r w:rsidR="008A5C9A" w:rsidRPr="001A77C2">
        <w:t xml:space="preserve"> </w:t>
      </w:r>
      <w:r w:rsidR="00521844">
        <w:t>(</w:t>
      </w:r>
      <w:r w:rsidR="008A5C9A" w:rsidRPr="001A77C2">
        <w:t>T = R</w:t>
      </w:r>
      <w:r w:rsidR="00521844">
        <w:t>)</w:t>
      </w:r>
      <w:r w:rsidR="008A5C9A" w:rsidRPr="001A77C2">
        <w:t xml:space="preserve"> </w:t>
      </w:r>
      <w:r w:rsidR="00521844">
        <w:t>to support</w:t>
      </w:r>
      <w:r w:rsidR="00521844" w:rsidRPr="001A77C2">
        <w:t xml:space="preserve"> </w:t>
      </w:r>
      <w:r w:rsidR="008A5C9A" w:rsidRPr="001A77C2">
        <w:t>the use case of reciprocity-based DL precoding.</w:t>
      </w:r>
      <w:r>
        <w:t xml:space="preserve"> </w:t>
      </w:r>
      <w:r w:rsidR="00410C99">
        <w:t xml:space="preserve">The SRS set can consist of one or more SRS resources, with one or more ports each, and SRI is not used. </w:t>
      </w:r>
      <w:r w:rsidR="00521844">
        <w:t>Down-s</w:t>
      </w:r>
      <w:r>
        <w:t xml:space="preserve">elect </w:t>
      </w:r>
      <w:r w:rsidR="00521844">
        <w:t xml:space="preserve">to </w:t>
      </w:r>
      <w:r>
        <w:t xml:space="preserve">one of the </w:t>
      </w:r>
      <w:r w:rsidR="00521844">
        <w:t xml:space="preserve">following </w:t>
      </w:r>
      <w:r>
        <w:t>alternatives:</w:t>
      </w:r>
      <w:r>
        <w:br/>
        <w:t xml:space="preserve">- Alt1: </w:t>
      </w:r>
      <w:r w:rsidR="00594505">
        <w:t>T</w:t>
      </w:r>
      <w:r w:rsidR="00F53026" w:rsidRPr="00F53026">
        <w:t xml:space="preserve">he usage of the </w:t>
      </w:r>
      <w:r w:rsidR="00F53026" w:rsidRPr="00F53026">
        <w:rPr>
          <w:i/>
        </w:rPr>
        <w:t>SRS-SetUse</w:t>
      </w:r>
      <w:r w:rsidR="00F53026" w:rsidRPr="00F53026">
        <w:t xml:space="preserve"> parameter value ‘AntennaSwitching’ </w:t>
      </w:r>
      <w:r w:rsidR="00594505">
        <w:t xml:space="preserve">is extended </w:t>
      </w:r>
      <w:r w:rsidR="00F53026" w:rsidRPr="00F53026">
        <w:t xml:space="preserve">to also </w:t>
      </w:r>
      <w:r w:rsidR="00521844">
        <w:t>support</w:t>
      </w:r>
      <w:r w:rsidR="00F53026" w:rsidRPr="00F53026">
        <w:t xml:space="preserve"> the case when T = R</w:t>
      </w:r>
      <w:r w:rsidR="00594505">
        <w:t>.</w:t>
      </w:r>
      <w:r w:rsidR="00521844">
        <w:t xml:space="preserve"> A simple TP in 38.214 is needed.</w:t>
      </w:r>
      <w:r>
        <w:br/>
        <w:t xml:space="preserve">- Alt2: </w:t>
      </w:r>
      <w:r w:rsidR="00F53026">
        <w:t>A</w:t>
      </w:r>
      <w:r w:rsidR="00F53026" w:rsidRPr="00F53026">
        <w:t>n additional value for</w:t>
      </w:r>
      <w:r w:rsidR="00521844">
        <w:t xml:space="preserve"> the RRC parameter</w:t>
      </w:r>
      <w:r w:rsidR="00F53026" w:rsidRPr="00F53026">
        <w:t xml:space="preserve"> </w:t>
      </w:r>
      <w:r w:rsidR="00F53026" w:rsidRPr="00F53026">
        <w:rPr>
          <w:i/>
        </w:rPr>
        <w:t>SRS-SetUse</w:t>
      </w:r>
      <w:r w:rsidR="00521844">
        <w:t xml:space="preserve"> is added,</w:t>
      </w:r>
      <w:r w:rsidR="00F53026" w:rsidRPr="00F53026">
        <w:t xml:space="preserve"> e.g. named ‘fullChannel’, to support sounding of the full MIMO channel when T = R</w:t>
      </w:r>
      <w:r w:rsidR="00594505">
        <w:t>.</w:t>
      </w:r>
      <w:bookmarkEnd w:id="11"/>
      <w:bookmarkEnd w:id="12"/>
      <w:bookmarkEnd w:id="13"/>
    </w:p>
    <w:p w14:paraId="4A0E4B21" w14:textId="620BCEB6" w:rsidR="00B2442C" w:rsidRDefault="00ED7EFC" w:rsidP="00B2442C">
      <w:pPr>
        <w:pStyle w:val="Heading2"/>
      </w:pPr>
      <w:r>
        <w:t>On a</w:t>
      </w:r>
      <w:r w:rsidR="00B2442C" w:rsidRPr="00B2442C">
        <w:t>dditional SRS periodicities</w:t>
      </w:r>
    </w:p>
    <w:p w14:paraId="103F99DB" w14:textId="77777777" w:rsidR="00ED7EFC" w:rsidRDefault="00ED7EFC" w:rsidP="00ED7EFC">
      <w:pPr>
        <w:pStyle w:val="CommentText"/>
        <w:spacing w:after="0"/>
        <w:rPr>
          <w:rFonts w:cs="Arial"/>
        </w:rPr>
      </w:pPr>
      <w:bookmarkStart w:id="14" w:name="_Hlk506481364"/>
      <w:r w:rsidRPr="0060117D">
        <w:rPr>
          <w:rFonts w:cs="Arial"/>
        </w:rPr>
        <w:t>In RAN1#91 it was agreed that for cell-specific RRC configuration of DL/UL assignment</w:t>
      </w:r>
      <w:r>
        <w:rPr>
          <w:rFonts w:cs="Arial"/>
        </w:rPr>
        <w:t>:</w:t>
      </w:r>
    </w:p>
    <w:p w14:paraId="72FE2FB0" w14:textId="77777777" w:rsidR="00ED7EFC" w:rsidRPr="0060117D" w:rsidRDefault="00ED7EFC" w:rsidP="00ED7EFC">
      <w:pPr>
        <w:pStyle w:val="CommentText"/>
        <w:spacing w:after="0"/>
        <w:rPr>
          <w:rFonts w:cs="Arial"/>
        </w:rPr>
      </w:pPr>
    </w:p>
    <w:p w14:paraId="1C785792" w14:textId="77777777" w:rsidR="00ED7EFC" w:rsidRPr="0060117D" w:rsidRDefault="00ED7EFC" w:rsidP="00ED7EFC">
      <w:pPr>
        <w:pStyle w:val="ListParagraph"/>
        <w:widowControl w:val="0"/>
        <w:numPr>
          <w:ilvl w:val="0"/>
          <w:numId w:val="20"/>
        </w:numPr>
        <w:spacing w:after="0"/>
        <w:rPr>
          <w:rFonts w:cs="Arial"/>
          <w:i/>
          <w:iCs/>
          <w:szCs w:val="20"/>
        </w:rPr>
      </w:pPr>
      <w:bookmarkStart w:id="15" w:name="_Hlk506480160"/>
      <w:r w:rsidRPr="0060117D">
        <w:rPr>
          <w:rFonts w:cs="Arial"/>
          <w:i/>
          <w:iCs/>
          <w:szCs w:val="20"/>
        </w:rPr>
        <w:t xml:space="preserve">Add additional periodicity </w:t>
      </w:r>
      <w:bookmarkEnd w:id="15"/>
      <w:r w:rsidRPr="0060117D">
        <w:rPr>
          <w:rFonts w:cs="Arial"/>
          <w:i/>
          <w:iCs/>
          <w:szCs w:val="20"/>
        </w:rPr>
        <w:t>0.625ms (for 120KHz SCS only), 1.25ms (for &gt;=60KHz SCS), and 2.5ms (for &gt;=30KHz SCS)</w:t>
      </w:r>
    </w:p>
    <w:p w14:paraId="4FC42D6B" w14:textId="77777777" w:rsidR="00ED7EFC" w:rsidRPr="0060117D" w:rsidRDefault="00ED7EFC" w:rsidP="00ED7EFC">
      <w:pPr>
        <w:pStyle w:val="ListParagraph"/>
        <w:widowControl w:val="0"/>
        <w:numPr>
          <w:ilvl w:val="0"/>
          <w:numId w:val="20"/>
        </w:numPr>
        <w:spacing w:after="0"/>
        <w:rPr>
          <w:rFonts w:cs="Arial"/>
          <w:i/>
          <w:iCs/>
          <w:szCs w:val="20"/>
        </w:rPr>
      </w:pPr>
      <w:r w:rsidRPr="0060117D">
        <w:rPr>
          <w:rFonts w:cs="Arial"/>
          <w:i/>
          <w:iCs/>
          <w:szCs w:val="20"/>
        </w:rPr>
        <w:t>Also support 2 concatenated DL-unknown-UL periodicity</w:t>
      </w:r>
    </w:p>
    <w:p w14:paraId="340F303F" w14:textId="77777777" w:rsidR="00ED7EFC" w:rsidRPr="0060117D" w:rsidRDefault="00ED7EFC" w:rsidP="00ED7EFC">
      <w:pPr>
        <w:pStyle w:val="ListParagraph"/>
        <w:widowControl w:val="0"/>
        <w:numPr>
          <w:ilvl w:val="1"/>
          <w:numId w:val="20"/>
        </w:numPr>
        <w:spacing w:after="0"/>
        <w:rPr>
          <w:rFonts w:cs="Arial"/>
          <w:i/>
          <w:iCs/>
          <w:szCs w:val="20"/>
        </w:rPr>
      </w:pPr>
      <w:bookmarkStart w:id="16" w:name="_Hlk503423551"/>
      <w:r w:rsidRPr="0060117D">
        <w:rPr>
          <w:rFonts w:cs="Arial"/>
          <w:i/>
          <w:iCs/>
          <w:szCs w:val="20"/>
        </w:rPr>
        <w:t>Add 1 bit in semi-static DL/UL assignment to indicate if the second periodicity is included</w:t>
      </w:r>
    </w:p>
    <w:bookmarkEnd w:id="16"/>
    <w:p w14:paraId="45BABA93" w14:textId="77777777" w:rsidR="00ED7EFC" w:rsidRPr="0060117D" w:rsidRDefault="00ED7EFC" w:rsidP="00ED7EFC">
      <w:pPr>
        <w:pStyle w:val="ListParagraph"/>
        <w:widowControl w:val="0"/>
        <w:numPr>
          <w:ilvl w:val="1"/>
          <w:numId w:val="20"/>
        </w:numPr>
        <w:spacing w:after="0"/>
        <w:rPr>
          <w:rFonts w:cs="Arial"/>
          <w:i/>
          <w:iCs/>
          <w:szCs w:val="20"/>
        </w:rPr>
      </w:pPr>
      <w:r w:rsidRPr="005B571F">
        <w:rPr>
          <w:rFonts w:cs="Arial"/>
          <w:i/>
          <w:iCs/>
          <w:szCs w:val="20"/>
          <w:highlight w:val="yellow"/>
        </w:rPr>
        <w:t>The two periodicities form X ms + Y ms total periodicity, where X, and Y are from {0.5, 0.625, 1, 1.25, 2, 2.5, 5, 10} ms</w:t>
      </w:r>
    </w:p>
    <w:p w14:paraId="27948381" w14:textId="77777777" w:rsidR="00ED7EFC" w:rsidRPr="0060117D" w:rsidRDefault="00ED7EFC" w:rsidP="00ED7EFC">
      <w:pPr>
        <w:pStyle w:val="ListParagraph"/>
        <w:widowControl w:val="0"/>
        <w:numPr>
          <w:ilvl w:val="2"/>
          <w:numId w:val="20"/>
        </w:numPr>
        <w:spacing w:after="0"/>
        <w:rPr>
          <w:rFonts w:cs="Arial"/>
          <w:i/>
          <w:iCs/>
        </w:rPr>
      </w:pPr>
      <w:r w:rsidRPr="0060117D">
        <w:rPr>
          <w:rFonts w:cs="Arial"/>
          <w:i/>
          <w:iCs/>
          <w:szCs w:val="20"/>
        </w:rPr>
        <w:t>When two perodicities are included, the corresponding parameters are independently configured</w:t>
      </w:r>
    </w:p>
    <w:p w14:paraId="0785A723" w14:textId="77777777" w:rsidR="00ED7EFC" w:rsidRPr="005B571F" w:rsidRDefault="00ED7EFC" w:rsidP="00ED7EFC">
      <w:pPr>
        <w:pStyle w:val="ListParagraph"/>
        <w:widowControl w:val="0"/>
        <w:numPr>
          <w:ilvl w:val="2"/>
          <w:numId w:val="20"/>
        </w:numPr>
        <w:spacing w:after="0"/>
        <w:rPr>
          <w:rFonts w:cs="Arial"/>
          <w:i/>
          <w:iCs/>
          <w:szCs w:val="20"/>
          <w:highlight w:val="yellow"/>
        </w:rPr>
      </w:pPr>
      <w:r w:rsidRPr="005B571F">
        <w:rPr>
          <w:rFonts w:cs="Arial"/>
          <w:i/>
          <w:iCs/>
          <w:szCs w:val="20"/>
          <w:highlight w:val="yellow"/>
        </w:rPr>
        <w:t>Note: it will be discussed to preclude some combinations (</w:t>
      </w:r>
      <w:r>
        <w:rPr>
          <w:rFonts w:cs="Arial"/>
          <w:i/>
          <w:iCs/>
          <w:szCs w:val="20"/>
          <w:highlight w:val="yellow"/>
        </w:rPr>
        <w:t>/</w:t>
      </w:r>
      <w:r w:rsidRPr="005B571F">
        <w:rPr>
          <w:rFonts w:cs="Arial"/>
          <w:i/>
          <w:iCs/>
          <w:szCs w:val="20"/>
          <w:highlight w:val="yellow"/>
        </w:rPr>
        <w:t>no additional higher-layer impact)</w:t>
      </w:r>
    </w:p>
    <w:bookmarkEnd w:id="14"/>
    <w:p w14:paraId="2D6990D4" w14:textId="77777777" w:rsidR="00ED7EFC" w:rsidRDefault="00ED7EFC" w:rsidP="00ED7EFC">
      <w:pPr>
        <w:pStyle w:val="BodyText"/>
      </w:pPr>
    </w:p>
    <w:p w14:paraId="45E5E7D0" w14:textId="77777777" w:rsidR="00ED7EFC" w:rsidRDefault="00ED7EFC" w:rsidP="00ED7EFC">
      <w:pPr>
        <w:pStyle w:val="BodyText"/>
      </w:pPr>
      <w:r>
        <w:t>To align with at least a subset of the newly agreed X + Y periodicities, the following agreement was made in RAN1 NR AdHoc 1801 to support additional periodicities for SRS (and CSI-RS):</w:t>
      </w:r>
    </w:p>
    <w:p w14:paraId="1FFAE564" w14:textId="77777777" w:rsidR="00ED7EFC" w:rsidRPr="005B571F" w:rsidRDefault="00ED7EFC" w:rsidP="00ED7EFC">
      <w:pPr>
        <w:pStyle w:val="ListParagraph"/>
        <w:widowControl w:val="0"/>
        <w:numPr>
          <w:ilvl w:val="0"/>
          <w:numId w:val="20"/>
        </w:numPr>
        <w:spacing w:after="0"/>
        <w:rPr>
          <w:rFonts w:cs="Arial"/>
          <w:i/>
          <w:iCs/>
        </w:rPr>
      </w:pPr>
      <w:r w:rsidRPr="005B571F">
        <w:rPr>
          <w:rFonts w:cs="Arial"/>
          <w:i/>
          <w:iCs/>
          <w:szCs w:val="20"/>
        </w:rPr>
        <w:t xml:space="preserve">Introduce additional periodicities of </w:t>
      </w:r>
      <w:r w:rsidRPr="005B571F">
        <w:rPr>
          <w:rFonts w:cs="Arial"/>
          <w:i/>
          <w:iCs/>
          <w:szCs w:val="20"/>
          <w:highlight w:val="yellow"/>
        </w:rPr>
        <w:t>{4,8,16,32,64} slots</w:t>
      </w:r>
      <w:r w:rsidRPr="005B571F">
        <w:rPr>
          <w:rFonts w:cs="Arial"/>
          <w:i/>
          <w:iCs/>
          <w:szCs w:val="20"/>
        </w:rPr>
        <w:t xml:space="preserve"> and the corresponding slot offsets to at least the following periodic/semi-persistent RS:</w:t>
      </w:r>
    </w:p>
    <w:p w14:paraId="773EE419" w14:textId="77777777" w:rsidR="00ED7EFC" w:rsidRPr="005B571F" w:rsidRDefault="00ED7EFC" w:rsidP="00ED7EFC">
      <w:pPr>
        <w:pStyle w:val="ListParagraph"/>
        <w:widowControl w:val="0"/>
        <w:numPr>
          <w:ilvl w:val="1"/>
          <w:numId w:val="20"/>
        </w:numPr>
        <w:spacing w:after="0"/>
        <w:rPr>
          <w:rFonts w:cs="Arial"/>
          <w:i/>
          <w:iCs/>
        </w:rPr>
      </w:pPr>
      <w:r w:rsidRPr="005B571F">
        <w:rPr>
          <w:rFonts w:cs="Arial"/>
          <w:i/>
          <w:iCs/>
          <w:szCs w:val="20"/>
        </w:rPr>
        <w:t>CSI-RS (includes ZP-CSI-RS and NZP-CSI-RS)</w:t>
      </w:r>
    </w:p>
    <w:p w14:paraId="42C18AD1" w14:textId="77777777" w:rsidR="00ED7EFC" w:rsidRPr="005B571F" w:rsidRDefault="00ED7EFC" w:rsidP="00ED7EFC">
      <w:pPr>
        <w:pStyle w:val="ListParagraph"/>
        <w:widowControl w:val="0"/>
        <w:numPr>
          <w:ilvl w:val="1"/>
          <w:numId w:val="20"/>
        </w:numPr>
        <w:spacing w:after="0"/>
        <w:rPr>
          <w:rFonts w:cs="Arial"/>
          <w:i/>
          <w:iCs/>
        </w:rPr>
      </w:pPr>
      <w:r w:rsidRPr="005B571F">
        <w:rPr>
          <w:rFonts w:cs="Arial"/>
          <w:i/>
          <w:iCs/>
          <w:szCs w:val="20"/>
        </w:rPr>
        <w:t>SRS</w:t>
      </w:r>
    </w:p>
    <w:p w14:paraId="15F757F5" w14:textId="77777777" w:rsidR="00ED7EFC" w:rsidRPr="005B571F" w:rsidRDefault="00ED7EFC" w:rsidP="00ED7EFC">
      <w:pPr>
        <w:pStyle w:val="ListParagraph"/>
        <w:widowControl w:val="0"/>
        <w:numPr>
          <w:ilvl w:val="0"/>
          <w:numId w:val="20"/>
        </w:numPr>
        <w:spacing w:after="0"/>
        <w:rPr>
          <w:rFonts w:cs="Arial"/>
          <w:i/>
          <w:iCs/>
          <w:highlight w:val="yellow"/>
        </w:rPr>
      </w:pPr>
      <w:r w:rsidRPr="005B571F">
        <w:rPr>
          <w:rFonts w:cs="Arial"/>
          <w:i/>
          <w:iCs/>
          <w:szCs w:val="20"/>
          <w:highlight w:val="yellow"/>
        </w:rPr>
        <w:t>FFS on whether and how to align to additional periodicities as agreed in the frame structure agenda</w:t>
      </w:r>
    </w:p>
    <w:p w14:paraId="4CF61849" w14:textId="77777777" w:rsidR="00ED7EFC" w:rsidRPr="005B571F" w:rsidRDefault="00ED7EFC" w:rsidP="00ED7EFC">
      <w:pPr>
        <w:pStyle w:val="ListParagraph"/>
        <w:widowControl w:val="0"/>
        <w:numPr>
          <w:ilvl w:val="1"/>
          <w:numId w:val="20"/>
        </w:numPr>
        <w:spacing w:after="0"/>
        <w:rPr>
          <w:rFonts w:cs="Arial"/>
          <w:i/>
          <w:iCs/>
          <w:highlight w:val="yellow"/>
        </w:rPr>
      </w:pPr>
      <w:r w:rsidRPr="005B571F">
        <w:rPr>
          <w:rFonts w:cs="Arial"/>
          <w:i/>
          <w:iCs/>
          <w:szCs w:val="20"/>
          <w:highlight w:val="yellow"/>
        </w:rPr>
        <w:t>“The two periodicities form X ms + Y ms total periodicity, where X, and Y are from {0.5, 0.625, 1, 1.25, 2, 2.5, 5, 10} ms”</w:t>
      </w:r>
    </w:p>
    <w:p w14:paraId="180E90E6" w14:textId="77777777" w:rsidR="00ED7EFC" w:rsidRPr="005B571F" w:rsidRDefault="00ED7EFC" w:rsidP="00ED7EFC">
      <w:pPr>
        <w:pStyle w:val="ListParagraph"/>
        <w:widowControl w:val="0"/>
        <w:numPr>
          <w:ilvl w:val="0"/>
          <w:numId w:val="20"/>
        </w:numPr>
        <w:spacing w:after="0"/>
        <w:rPr>
          <w:i/>
          <w:lang w:eastAsia="x-none"/>
        </w:rPr>
      </w:pPr>
      <w:r w:rsidRPr="005B571F">
        <w:rPr>
          <w:rFonts w:cs="Arial"/>
          <w:i/>
          <w:iCs/>
          <w:szCs w:val="20"/>
        </w:rPr>
        <w:t>FFS on CSI-IM periodicity of 1 slot</w:t>
      </w:r>
    </w:p>
    <w:p w14:paraId="01D97C02" w14:textId="77777777" w:rsidR="00ED7EFC" w:rsidRDefault="00ED7EFC" w:rsidP="00ED7EFC">
      <w:pPr>
        <w:overflowPunct/>
        <w:autoSpaceDE/>
        <w:autoSpaceDN/>
        <w:adjustRightInd/>
        <w:spacing w:after="0"/>
        <w:jc w:val="left"/>
        <w:textAlignment w:val="auto"/>
        <w:rPr>
          <w:highlight w:val="yellow"/>
        </w:rPr>
      </w:pPr>
    </w:p>
    <w:p w14:paraId="0F7711E6" w14:textId="77777777" w:rsidR="00ED7EFC" w:rsidRDefault="00ED7EFC" w:rsidP="00ED7EFC">
      <w:pPr>
        <w:rPr>
          <w:lang w:val="en-US"/>
        </w:rPr>
      </w:pPr>
      <w:r>
        <w:rPr>
          <w:lang w:val="en-US"/>
        </w:rPr>
        <w:lastRenderedPageBreak/>
        <w:t>The remaining FFS point is whether or not to support yet even more periodicities for SRS/CSI-RS to align with all possibilities for X + Y. Here we argue that no additional SRS/CSI-RS periodicities are needed.</w:t>
      </w:r>
    </w:p>
    <w:p w14:paraId="65F66EBC" w14:textId="79D2F627" w:rsidR="00ED7EFC" w:rsidRDefault="00ED7EFC" w:rsidP="00ED7EFC">
      <w:pPr>
        <w:pStyle w:val="BodyText"/>
        <w:rPr>
          <w:lang w:val="en-US"/>
        </w:rPr>
      </w:pPr>
      <w:r>
        <w:rPr>
          <w:lang w:val="en-US"/>
        </w:rPr>
        <w:t xml:space="preserve">As mentioned in the first agreement above, it will be discussed to preclude some combinations of X + Y. As it turns out, many of the X + Y combinations must be precluded because they do not align with the periodicity of SSB. Since SSB is a vital signal for system operation, it cannot be dropped. Hence, any semi-statically configured DL/UL configuration must have a downlink slot occurrence that aligns with the SSB periodicity that a UE assumes upon initial access, i.e., 20 ms. Based on this, we propose the following preclusion rule (see also </w:t>
      </w:r>
      <w:r>
        <w:rPr>
          <w:lang w:val="en-US"/>
        </w:rPr>
        <w:fldChar w:fldCharType="begin"/>
      </w:r>
      <w:r>
        <w:rPr>
          <w:lang w:val="en-US"/>
        </w:rPr>
        <w:instrText xml:space="preserve"> REF _Ref506557732 \r \h </w:instrText>
      </w:r>
      <w:r>
        <w:rPr>
          <w:lang w:val="en-US"/>
        </w:rPr>
      </w:r>
      <w:r>
        <w:rPr>
          <w:lang w:val="en-US"/>
        </w:rPr>
        <w:fldChar w:fldCharType="separate"/>
      </w:r>
      <w:r>
        <w:rPr>
          <w:lang w:val="en-US"/>
        </w:rPr>
        <w:t>[4]</w:t>
      </w:r>
      <w:r>
        <w:rPr>
          <w:lang w:val="en-US"/>
        </w:rPr>
        <w:fldChar w:fldCharType="end"/>
      </w:r>
      <w:r>
        <w:rPr>
          <w:lang w:val="en-US"/>
        </w:rPr>
        <w:t xml:space="preserve"> and </w:t>
      </w:r>
      <w:r>
        <w:rPr>
          <w:lang w:val="en-US"/>
        </w:rPr>
        <w:fldChar w:fldCharType="begin"/>
      </w:r>
      <w:r>
        <w:rPr>
          <w:lang w:val="en-US"/>
        </w:rPr>
        <w:instrText xml:space="preserve"> REF _Ref506557735 \r \h </w:instrText>
      </w:r>
      <w:r>
        <w:rPr>
          <w:lang w:val="en-US"/>
        </w:rPr>
      </w:r>
      <w:r>
        <w:rPr>
          <w:lang w:val="en-US"/>
        </w:rPr>
        <w:fldChar w:fldCharType="separate"/>
      </w:r>
      <w:r>
        <w:rPr>
          <w:lang w:val="en-US"/>
        </w:rPr>
        <w:t>[5]</w:t>
      </w:r>
      <w:r>
        <w:rPr>
          <w:lang w:val="en-US"/>
        </w:rPr>
        <w:fldChar w:fldCharType="end"/>
      </w:r>
      <w:r>
        <w:rPr>
          <w:lang w:val="en-US"/>
        </w:rPr>
        <w:t>):</w:t>
      </w:r>
    </w:p>
    <w:p w14:paraId="3A030C65" w14:textId="77777777" w:rsidR="00ED7EFC" w:rsidRPr="005B571F" w:rsidRDefault="00ED7EFC" w:rsidP="00ED7EFC">
      <w:pPr>
        <w:pStyle w:val="Proposal"/>
      </w:pPr>
      <w:bookmarkStart w:id="17" w:name="_Toc506558803"/>
      <w:bookmarkStart w:id="18" w:name="_Toc506558838"/>
      <w:bookmarkStart w:id="19" w:name="_Toc506563963"/>
      <w:bookmarkStart w:id="20" w:name="_Toc506564012"/>
      <w:bookmarkStart w:id="21" w:name="_Toc506572870"/>
      <w:r w:rsidRPr="00A82598">
        <w:t xml:space="preserve">For cell-specific RRC configuration of DL/UL assignment, the configured </w:t>
      </w:r>
      <w:r>
        <w:t xml:space="preserve">DL/UL </w:t>
      </w:r>
      <w:r w:rsidRPr="00A82598">
        <w:t xml:space="preserve">pattern </w:t>
      </w:r>
      <w:r>
        <w:t>duration</w:t>
      </w:r>
      <w:r w:rsidRPr="00A82598">
        <w:t xml:space="preserve"> </w:t>
      </w:r>
      <w:r>
        <w:t xml:space="preserve">(periodicity) </w:t>
      </w:r>
      <w:r w:rsidRPr="00A82598">
        <w:t>shall divide 20 ms evenly</w:t>
      </w:r>
      <w:r>
        <w:t>.</w:t>
      </w:r>
      <w:r>
        <w:br/>
      </w:r>
      <w:r>
        <w:rPr>
          <w:rFonts w:ascii="Cambria Math" w:hAnsi="Cambria Math"/>
        </w:rPr>
        <w:t xml:space="preserve">  -</w:t>
      </w:r>
      <w:r>
        <w:rPr>
          <w:rFonts w:ascii="Cambria Math" w:hAnsi="Cambria Math"/>
        </w:rPr>
        <w:tab/>
      </w:r>
      <w:r w:rsidRPr="00972528">
        <w:t>That is, if only one periodicity is configured, X shall divide 20 ms evenly. If two periodicities are configured, X+Y shall divide 20 ms evenly</w:t>
      </w:r>
      <w:r w:rsidRPr="0060117D">
        <w:rPr>
          <w:b w:val="0"/>
        </w:rPr>
        <w:t>.</w:t>
      </w:r>
      <w:bookmarkEnd w:id="17"/>
      <w:bookmarkEnd w:id="18"/>
      <w:bookmarkEnd w:id="19"/>
      <w:bookmarkEnd w:id="20"/>
      <w:bookmarkEnd w:id="21"/>
    </w:p>
    <w:p w14:paraId="21FF6053" w14:textId="77777777" w:rsidR="00ED7EFC" w:rsidRDefault="00ED7EFC" w:rsidP="00ED7EFC">
      <w:pPr>
        <w:pStyle w:val="BodyText"/>
      </w:pPr>
      <w:r>
        <w:t xml:space="preserve">With this </w:t>
      </w:r>
      <w:r w:rsidRPr="002B4534">
        <w:t>preclusion</w:t>
      </w:r>
      <w:r>
        <w:t xml:space="preserve"> rule, the only values of X or X+Y that divide 20 ms evenly are {</w:t>
      </w:r>
      <w:r w:rsidRPr="002B4534">
        <w:t xml:space="preserve">0.5, 0.625, </w:t>
      </w:r>
      <w:r>
        <w:t>1, 1.</w:t>
      </w:r>
      <w:r w:rsidRPr="002B4534">
        <w:t>25, 2, 2.5, 4, 5, 10, and 20</w:t>
      </w:r>
      <w:r>
        <w:t>}</w:t>
      </w:r>
      <w:r w:rsidRPr="002B4534">
        <w:t xml:space="preserve"> ms</w:t>
      </w:r>
      <w:r>
        <w:t>. Expressed in integer number of slots, the following DL/UL pattern duration (periodicities) are allowed for different SCS:</w:t>
      </w:r>
    </w:p>
    <w:tbl>
      <w:tblPr>
        <w:tblW w:w="0" w:type="auto"/>
        <w:jc w:val="center"/>
        <w:tblCellMar>
          <w:left w:w="0" w:type="dxa"/>
          <w:right w:w="0" w:type="dxa"/>
        </w:tblCellMar>
        <w:tblLook w:val="04A0" w:firstRow="1" w:lastRow="0" w:firstColumn="1" w:lastColumn="0" w:noHBand="0" w:noVBand="1"/>
      </w:tblPr>
      <w:tblGrid>
        <w:gridCol w:w="3477"/>
        <w:gridCol w:w="800"/>
        <w:gridCol w:w="800"/>
        <w:gridCol w:w="800"/>
        <w:gridCol w:w="900"/>
        <w:gridCol w:w="900"/>
      </w:tblGrid>
      <w:tr w:rsidR="00ED7EFC" w14:paraId="7A92A8A3" w14:textId="77777777" w:rsidTr="0068517E">
        <w:trPr>
          <w:trHeight w:val="144"/>
          <w:jc w:val="center"/>
        </w:trPr>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1F1DA0" w14:textId="46B43600" w:rsidR="00ED7EFC" w:rsidRDefault="00ED7EFC" w:rsidP="0068517E">
            <w:pPr>
              <w:spacing w:after="0"/>
              <w:jc w:val="center"/>
              <w:rPr>
                <w:rFonts w:ascii="Calibri" w:hAnsi="Calibri" w:cs="Calibri"/>
              </w:rPr>
            </w:pPr>
            <w:r>
              <w:t>DL/UL Pattern duration</w:t>
            </w:r>
            <w:r w:rsidR="00025F5A">
              <w:t>/</w:t>
            </w:r>
            <w:r>
              <w:t>periodicity (ms)</w:t>
            </w:r>
          </w:p>
        </w:tc>
        <w:tc>
          <w:tcPr>
            <w:tcW w:w="0" w:type="auto"/>
            <w:tcBorders>
              <w:top w:val="nil"/>
              <w:left w:val="nil"/>
              <w:bottom w:val="single" w:sz="8" w:space="0" w:color="auto"/>
              <w:right w:val="nil"/>
            </w:tcBorders>
            <w:noWrap/>
            <w:tcMar>
              <w:top w:w="0" w:type="dxa"/>
              <w:left w:w="108" w:type="dxa"/>
              <w:bottom w:w="0" w:type="dxa"/>
              <w:right w:w="108" w:type="dxa"/>
            </w:tcMar>
            <w:vAlign w:val="bottom"/>
            <w:hideMark/>
          </w:tcPr>
          <w:p w14:paraId="0DC07C4A" w14:textId="77777777" w:rsidR="00ED7EFC" w:rsidRDefault="00ED7EFC" w:rsidP="0068517E">
            <w:pPr>
              <w:spacing w:after="0"/>
              <w:jc w:val="center"/>
            </w:pPr>
            <w:r>
              <w:t>15 kHz</w:t>
            </w:r>
          </w:p>
        </w:tc>
        <w:tc>
          <w:tcPr>
            <w:tcW w:w="0" w:type="auto"/>
            <w:tcBorders>
              <w:top w:val="nil"/>
              <w:left w:val="nil"/>
              <w:bottom w:val="single" w:sz="8" w:space="0" w:color="auto"/>
              <w:right w:val="nil"/>
            </w:tcBorders>
            <w:noWrap/>
            <w:tcMar>
              <w:top w:w="0" w:type="dxa"/>
              <w:left w:w="108" w:type="dxa"/>
              <w:bottom w:w="0" w:type="dxa"/>
              <w:right w:w="108" w:type="dxa"/>
            </w:tcMar>
            <w:vAlign w:val="bottom"/>
            <w:hideMark/>
          </w:tcPr>
          <w:p w14:paraId="2C6CCB58" w14:textId="77777777" w:rsidR="00ED7EFC" w:rsidRDefault="00ED7EFC" w:rsidP="0068517E">
            <w:pPr>
              <w:spacing w:after="0"/>
              <w:jc w:val="center"/>
            </w:pPr>
            <w:r>
              <w:t>30 kHz</w:t>
            </w:r>
          </w:p>
        </w:tc>
        <w:tc>
          <w:tcPr>
            <w:tcW w:w="0" w:type="auto"/>
            <w:tcBorders>
              <w:top w:val="nil"/>
              <w:left w:val="nil"/>
              <w:bottom w:val="single" w:sz="8" w:space="0" w:color="auto"/>
              <w:right w:val="nil"/>
            </w:tcBorders>
            <w:noWrap/>
            <w:tcMar>
              <w:top w:w="0" w:type="dxa"/>
              <w:left w:w="108" w:type="dxa"/>
              <w:bottom w:w="0" w:type="dxa"/>
              <w:right w:w="108" w:type="dxa"/>
            </w:tcMar>
            <w:vAlign w:val="bottom"/>
            <w:hideMark/>
          </w:tcPr>
          <w:p w14:paraId="64C1CC1A" w14:textId="77777777" w:rsidR="00ED7EFC" w:rsidRDefault="00ED7EFC" w:rsidP="0068517E">
            <w:pPr>
              <w:spacing w:after="0"/>
              <w:jc w:val="center"/>
            </w:pPr>
            <w:r>
              <w:t>60 kHz</w:t>
            </w:r>
          </w:p>
        </w:tc>
        <w:tc>
          <w:tcPr>
            <w:tcW w:w="0" w:type="auto"/>
            <w:tcBorders>
              <w:top w:val="nil"/>
              <w:left w:val="nil"/>
              <w:bottom w:val="single" w:sz="8" w:space="0" w:color="auto"/>
              <w:right w:val="nil"/>
            </w:tcBorders>
            <w:noWrap/>
            <w:tcMar>
              <w:top w:w="0" w:type="dxa"/>
              <w:left w:w="108" w:type="dxa"/>
              <w:bottom w:w="0" w:type="dxa"/>
              <w:right w:w="108" w:type="dxa"/>
            </w:tcMar>
            <w:vAlign w:val="bottom"/>
            <w:hideMark/>
          </w:tcPr>
          <w:p w14:paraId="79BFF92D" w14:textId="77777777" w:rsidR="00ED7EFC" w:rsidRDefault="00ED7EFC" w:rsidP="0068517E">
            <w:pPr>
              <w:spacing w:after="0"/>
              <w:jc w:val="center"/>
            </w:pPr>
            <w:r>
              <w:t>120 kHz</w:t>
            </w:r>
          </w:p>
        </w:tc>
        <w:tc>
          <w:tcPr>
            <w:tcW w:w="0" w:type="auto"/>
            <w:tcBorders>
              <w:top w:val="nil"/>
              <w:left w:val="nil"/>
              <w:bottom w:val="single" w:sz="8" w:space="0" w:color="auto"/>
              <w:right w:val="nil"/>
            </w:tcBorders>
            <w:noWrap/>
            <w:tcMar>
              <w:top w:w="0" w:type="dxa"/>
              <w:left w:w="108" w:type="dxa"/>
              <w:bottom w:w="0" w:type="dxa"/>
              <w:right w:w="108" w:type="dxa"/>
            </w:tcMar>
            <w:vAlign w:val="bottom"/>
            <w:hideMark/>
          </w:tcPr>
          <w:p w14:paraId="54C73D97" w14:textId="77777777" w:rsidR="00ED7EFC" w:rsidRDefault="00ED7EFC" w:rsidP="0068517E">
            <w:pPr>
              <w:spacing w:after="0"/>
              <w:jc w:val="center"/>
            </w:pPr>
            <w:r>
              <w:t>240 kHz</w:t>
            </w:r>
          </w:p>
        </w:tc>
      </w:tr>
      <w:tr w:rsidR="00ED7EFC" w14:paraId="5D861DEE" w14:textId="77777777" w:rsidTr="0068517E">
        <w:trPr>
          <w:trHeight w:val="144"/>
          <w:jc w:val="center"/>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675C6CCC" w14:textId="77777777" w:rsidR="00ED7EFC" w:rsidRDefault="00ED7EFC" w:rsidP="0068517E">
            <w:pPr>
              <w:spacing w:after="0"/>
              <w:jc w:val="center"/>
            </w:pPr>
            <w:r>
              <w:t>0.5</w:t>
            </w:r>
          </w:p>
        </w:tc>
        <w:tc>
          <w:tcPr>
            <w:tcW w:w="0" w:type="auto"/>
            <w:noWrap/>
            <w:tcMar>
              <w:top w:w="0" w:type="dxa"/>
              <w:left w:w="108" w:type="dxa"/>
              <w:bottom w:w="0" w:type="dxa"/>
              <w:right w:w="108" w:type="dxa"/>
            </w:tcMar>
            <w:vAlign w:val="bottom"/>
            <w:hideMark/>
          </w:tcPr>
          <w:p w14:paraId="5FC6CA6A" w14:textId="77777777" w:rsidR="00ED7EFC" w:rsidRDefault="00ED7EFC" w:rsidP="0068517E">
            <w:pPr>
              <w:spacing w:after="0"/>
            </w:pPr>
          </w:p>
        </w:tc>
        <w:tc>
          <w:tcPr>
            <w:tcW w:w="0" w:type="auto"/>
            <w:noWrap/>
            <w:tcMar>
              <w:top w:w="0" w:type="dxa"/>
              <w:left w:w="108" w:type="dxa"/>
              <w:bottom w:w="0" w:type="dxa"/>
              <w:right w:w="108" w:type="dxa"/>
            </w:tcMar>
            <w:vAlign w:val="bottom"/>
            <w:hideMark/>
          </w:tcPr>
          <w:p w14:paraId="68502B75" w14:textId="77777777" w:rsidR="00ED7EFC" w:rsidRDefault="00ED7EFC" w:rsidP="0068517E">
            <w:pPr>
              <w:spacing w:after="0"/>
              <w:jc w:val="right"/>
              <w:rPr>
                <w:rFonts w:ascii="Calibri" w:hAnsi="Calibri" w:cs="Calibri"/>
              </w:rPr>
            </w:pPr>
            <w:r>
              <w:t>1</w:t>
            </w:r>
          </w:p>
        </w:tc>
        <w:tc>
          <w:tcPr>
            <w:tcW w:w="0" w:type="auto"/>
            <w:noWrap/>
            <w:tcMar>
              <w:top w:w="0" w:type="dxa"/>
              <w:left w:w="108" w:type="dxa"/>
              <w:bottom w:w="0" w:type="dxa"/>
              <w:right w:w="108" w:type="dxa"/>
            </w:tcMar>
            <w:vAlign w:val="bottom"/>
            <w:hideMark/>
          </w:tcPr>
          <w:p w14:paraId="66A0175F" w14:textId="77777777" w:rsidR="00ED7EFC" w:rsidRDefault="00ED7EFC" w:rsidP="0068517E">
            <w:pPr>
              <w:spacing w:after="0"/>
              <w:jc w:val="right"/>
            </w:pPr>
            <w:r>
              <w:t>2</w:t>
            </w:r>
          </w:p>
        </w:tc>
        <w:tc>
          <w:tcPr>
            <w:tcW w:w="0" w:type="auto"/>
            <w:noWrap/>
            <w:tcMar>
              <w:top w:w="0" w:type="dxa"/>
              <w:left w:w="108" w:type="dxa"/>
              <w:bottom w:w="0" w:type="dxa"/>
              <w:right w:w="108" w:type="dxa"/>
            </w:tcMar>
            <w:vAlign w:val="bottom"/>
            <w:hideMark/>
          </w:tcPr>
          <w:p w14:paraId="26AD789F" w14:textId="77777777" w:rsidR="00ED7EFC" w:rsidRDefault="00ED7EFC" w:rsidP="0068517E">
            <w:pPr>
              <w:spacing w:after="0"/>
              <w:jc w:val="right"/>
            </w:pPr>
            <w:r>
              <w:t>4</w:t>
            </w:r>
          </w:p>
        </w:tc>
        <w:tc>
          <w:tcPr>
            <w:tcW w:w="0" w:type="auto"/>
            <w:noWrap/>
            <w:tcMar>
              <w:top w:w="0" w:type="dxa"/>
              <w:left w:w="108" w:type="dxa"/>
              <w:bottom w:w="0" w:type="dxa"/>
              <w:right w:w="108" w:type="dxa"/>
            </w:tcMar>
            <w:vAlign w:val="bottom"/>
            <w:hideMark/>
          </w:tcPr>
          <w:p w14:paraId="67F92ED2" w14:textId="77777777" w:rsidR="00ED7EFC" w:rsidRDefault="00ED7EFC" w:rsidP="0068517E">
            <w:pPr>
              <w:spacing w:after="0"/>
              <w:jc w:val="right"/>
            </w:pPr>
            <w:r>
              <w:t>8</w:t>
            </w:r>
          </w:p>
        </w:tc>
      </w:tr>
      <w:tr w:rsidR="00ED7EFC" w14:paraId="0EC297BD" w14:textId="77777777" w:rsidTr="0068517E">
        <w:trPr>
          <w:trHeight w:val="144"/>
          <w:jc w:val="center"/>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7D372606" w14:textId="77777777" w:rsidR="00ED7EFC" w:rsidRDefault="00ED7EFC" w:rsidP="0068517E">
            <w:pPr>
              <w:spacing w:after="0"/>
              <w:jc w:val="center"/>
            </w:pPr>
            <w:r>
              <w:t>0.625</w:t>
            </w:r>
          </w:p>
        </w:tc>
        <w:tc>
          <w:tcPr>
            <w:tcW w:w="0" w:type="auto"/>
            <w:noWrap/>
            <w:tcMar>
              <w:top w:w="0" w:type="dxa"/>
              <w:left w:w="108" w:type="dxa"/>
              <w:bottom w:w="0" w:type="dxa"/>
              <w:right w:w="108" w:type="dxa"/>
            </w:tcMar>
            <w:vAlign w:val="bottom"/>
            <w:hideMark/>
          </w:tcPr>
          <w:p w14:paraId="47BAA9F8" w14:textId="77777777" w:rsidR="00ED7EFC" w:rsidRDefault="00ED7EFC" w:rsidP="0068517E">
            <w:pPr>
              <w:spacing w:after="0"/>
            </w:pPr>
          </w:p>
        </w:tc>
        <w:tc>
          <w:tcPr>
            <w:tcW w:w="0" w:type="auto"/>
            <w:noWrap/>
            <w:tcMar>
              <w:top w:w="0" w:type="dxa"/>
              <w:left w:w="108" w:type="dxa"/>
              <w:bottom w:w="0" w:type="dxa"/>
              <w:right w:w="108" w:type="dxa"/>
            </w:tcMar>
            <w:vAlign w:val="bottom"/>
            <w:hideMark/>
          </w:tcPr>
          <w:p w14:paraId="5F175740" w14:textId="77777777" w:rsidR="00ED7EFC" w:rsidRDefault="00ED7EFC" w:rsidP="0068517E">
            <w:pPr>
              <w:spacing w:after="0"/>
            </w:pPr>
          </w:p>
        </w:tc>
        <w:tc>
          <w:tcPr>
            <w:tcW w:w="0" w:type="auto"/>
            <w:noWrap/>
            <w:tcMar>
              <w:top w:w="0" w:type="dxa"/>
              <w:left w:w="108" w:type="dxa"/>
              <w:bottom w:w="0" w:type="dxa"/>
              <w:right w:w="108" w:type="dxa"/>
            </w:tcMar>
            <w:vAlign w:val="bottom"/>
            <w:hideMark/>
          </w:tcPr>
          <w:p w14:paraId="1D7B0905" w14:textId="77777777" w:rsidR="00ED7EFC" w:rsidRDefault="00ED7EFC" w:rsidP="0068517E">
            <w:pPr>
              <w:spacing w:after="0"/>
            </w:pPr>
          </w:p>
        </w:tc>
        <w:tc>
          <w:tcPr>
            <w:tcW w:w="0" w:type="auto"/>
            <w:noWrap/>
            <w:tcMar>
              <w:top w:w="0" w:type="dxa"/>
              <w:left w:w="108" w:type="dxa"/>
              <w:bottom w:w="0" w:type="dxa"/>
              <w:right w:w="108" w:type="dxa"/>
            </w:tcMar>
            <w:vAlign w:val="bottom"/>
            <w:hideMark/>
          </w:tcPr>
          <w:p w14:paraId="1415C555" w14:textId="77777777" w:rsidR="00ED7EFC" w:rsidRDefault="00ED7EFC" w:rsidP="0068517E">
            <w:pPr>
              <w:spacing w:after="0"/>
              <w:jc w:val="right"/>
              <w:rPr>
                <w:rFonts w:ascii="Calibri" w:hAnsi="Calibri" w:cs="Calibri"/>
              </w:rPr>
            </w:pPr>
            <w:r>
              <w:t>5</w:t>
            </w:r>
          </w:p>
        </w:tc>
        <w:tc>
          <w:tcPr>
            <w:tcW w:w="0" w:type="auto"/>
            <w:noWrap/>
            <w:tcMar>
              <w:top w:w="0" w:type="dxa"/>
              <w:left w:w="108" w:type="dxa"/>
              <w:bottom w:w="0" w:type="dxa"/>
              <w:right w:w="108" w:type="dxa"/>
            </w:tcMar>
            <w:vAlign w:val="bottom"/>
            <w:hideMark/>
          </w:tcPr>
          <w:p w14:paraId="2240106B" w14:textId="77777777" w:rsidR="00ED7EFC" w:rsidRDefault="00ED7EFC" w:rsidP="0068517E">
            <w:pPr>
              <w:spacing w:after="0"/>
            </w:pPr>
          </w:p>
        </w:tc>
      </w:tr>
      <w:tr w:rsidR="00ED7EFC" w14:paraId="064D1DC9" w14:textId="77777777" w:rsidTr="0068517E">
        <w:trPr>
          <w:trHeight w:val="144"/>
          <w:jc w:val="center"/>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5A43F058" w14:textId="77777777" w:rsidR="00ED7EFC" w:rsidRDefault="00ED7EFC" w:rsidP="0068517E">
            <w:pPr>
              <w:spacing w:after="0"/>
              <w:jc w:val="center"/>
              <w:rPr>
                <w:rFonts w:ascii="Calibri" w:hAnsi="Calibri" w:cs="Calibri"/>
              </w:rPr>
            </w:pPr>
            <w:r>
              <w:t>1</w:t>
            </w:r>
          </w:p>
        </w:tc>
        <w:tc>
          <w:tcPr>
            <w:tcW w:w="0" w:type="auto"/>
            <w:noWrap/>
            <w:tcMar>
              <w:top w:w="0" w:type="dxa"/>
              <w:left w:w="108" w:type="dxa"/>
              <w:bottom w:w="0" w:type="dxa"/>
              <w:right w:w="108" w:type="dxa"/>
            </w:tcMar>
            <w:vAlign w:val="bottom"/>
            <w:hideMark/>
          </w:tcPr>
          <w:p w14:paraId="7B685321" w14:textId="77777777" w:rsidR="00ED7EFC" w:rsidRDefault="00ED7EFC" w:rsidP="0068517E">
            <w:pPr>
              <w:spacing w:after="0"/>
              <w:jc w:val="right"/>
            </w:pPr>
            <w:r>
              <w:t>1</w:t>
            </w:r>
          </w:p>
        </w:tc>
        <w:tc>
          <w:tcPr>
            <w:tcW w:w="0" w:type="auto"/>
            <w:noWrap/>
            <w:tcMar>
              <w:top w:w="0" w:type="dxa"/>
              <w:left w:w="108" w:type="dxa"/>
              <w:bottom w:w="0" w:type="dxa"/>
              <w:right w:w="108" w:type="dxa"/>
            </w:tcMar>
            <w:vAlign w:val="bottom"/>
            <w:hideMark/>
          </w:tcPr>
          <w:p w14:paraId="6C4A2028" w14:textId="77777777" w:rsidR="00ED7EFC" w:rsidRDefault="00ED7EFC" w:rsidP="0068517E">
            <w:pPr>
              <w:spacing w:after="0"/>
              <w:jc w:val="right"/>
            </w:pPr>
            <w:r>
              <w:t>2</w:t>
            </w:r>
          </w:p>
        </w:tc>
        <w:tc>
          <w:tcPr>
            <w:tcW w:w="0" w:type="auto"/>
            <w:noWrap/>
            <w:tcMar>
              <w:top w:w="0" w:type="dxa"/>
              <w:left w:w="108" w:type="dxa"/>
              <w:bottom w:w="0" w:type="dxa"/>
              <w:right w:w="108" w:type="dxa"/>
            </w:tcMar>
            <w:vAlign w:val="bottom"/>
            <w:hideMark/>
          </w:tcPr>
          <w:p w14:paraId="72C09271" w14:textId="77777777" w:rsidR="00ED7EFC" w:rsidRDefault="00ED7EFC" w:rsidP="0068517E">
            <w:pPr>
              <w:spacing w:after="0"/>
              <w:jc w:val="right"/>
            </w:pPr>
            <w:r>
              <w:t>4</w:t>
            </w:r>
          </w:p>
        </w:tc>
        <w:tc>
          <w:tcPr>
            <w:tcW w:w="0" w:type="auto"/>
            <w:noWrap/>
            <w:tcMar>
              <w:top w:w="0" w:type="dxa"/>
              <w:left w:w="108" w:type="dxa"/>
              <w:bottom w:w="0" w:type="dxa"/>
              <w:right w:w="108" w:type="dxa"/>
            </w:tcMar>
            <w:vAlign w:val="bottom"/>
            <w:hideMark/>
          </w:tcPr>
          <w:p w14:paraId="60BEF940" w14:textId="77777777" w:rsidR="00ED7EFC" w:rsidRDefault="00ED7EFC" w:rsidP="0068517E">
            <w:pPr>
              <w:spacing w:after="0"/>
              <w:jc w:val="right"/>
            </w:pPr>
            <w:r>
              <w:t>8</w:t>
            </w:r>
          </w:p>
        </w:tc>
        <w:tc>
          <w:tcPr>
            <w:tcW w:w="0" w:type="auto"/>
            <w:noWrap/>
            <w:tcMar>
              <w:top w:w="0" w:type="dxa"/>
              <w:left w:w="108" w:type="dxa"/>
              <w:bottom w:w="0" w:type="dxa"/>
              <w:right w:w="108" w:type="dxa"/>
            </w:tcMar>
            <w:vAlign w:val="bottom"/>
            <w:hideMark/>
          </w:tcPr>
          <w:p w14:paraId="196D045D" w14:textId="77777777" w:rsidR="00ED7EFC" w:rsidRDefault="00ED7EFC" w:rsidP="0068517E">
            <w:pPr>
              <w:spacing w:after="0"/>
              <w:jc w:val="right"/>
            </w:pPr>
            <w:r>
              <w:t>16</w:t>
            </w:r>
          </w:p>
        </w:tc>
      </w:tr>
      <w:tr w:rsidR="00ED7EFC" w14:paraId="07448737" w14:textId="77777777" w:rsidTr="0068517E">
        <w:trPr>
          <w:trHeight w:val="144"/>
          <w:jc w:val="center"/>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577C4BC2" w14:textId="77777777" w:rsidR="00ED7EFC" w:rsidRDefault="00ED7EFC" w:rsidP="0068517E">
            <w:pPr>
              <w:spacing w:after="0"/>
              <w:jc w:val="center"/>
            </w:pPr>
            <w:r>
              <w:t>1.25</w:t>
            </w:r>
          </w:p>
        </w:tc>
        <w:tc>
          <w:tcPr>
            <w:tcW w:w="0" w:type="auto"/>
            <w:noWrap/>
            <w:tcMar>
              <w:top w:w="0" w:type="dxa"/>
              <w:left w:w="108" w:type="dxa"/>
              <w:bottom w:w="0" w:type="dxa"/>
              <w:right w:w="108" w:type="dxa"/>
            </w:tcMar>
            <w:vAlign w:val="bottom"/>
            <w:hideMark/>
          </w:tcPr>
          <w:p w14:paraId="567343F7" w14:textId="77777777" w:rsidR="00ED7EFC" w:rsidRDefault="00ED7EFC" w:rsidP="0068517E">
            <w:pPr>
              <w:spacing w:after="0"/>
            </w:pPr>
          </w:p>
        </w:tc>
        <w:tc>
          <w:tcPr>
            <w:tcW w:w="0" w:type="auto"/>
            <w:noWrap/>
            <w:tcMar>
              <w:top w:w="0" w:type="dxa"/>
              <w:left w:w="108" w:type="dxa"/>
              <w:bottom w:w="0" w:type="dxa"/>
              <w:right w:w="108" w:type="dxa"/>
            </w:tcMar>
            <w:vAlign w:val="bottom"/>
            <w:hideMark/>
          </w:tcPr>
          <w:p w14:paraId="1F03498D" w14:textId="77777777" w:rsidR="00ED7EFC" w:rsidRDefault="00ED7EFC" w:rsidP="0068517E">
            <w:pPr>
              <w:spacing w:after="0"/>
            </w:pPr>
          </w:p>
        </w:tc>
        <w:tc>
          <w:tcPr>
            <w:tcW w:w="0" w:type="auto"/>
            <w:noWrap/>
            <w:tcMar>
              <w:top w:w="0" w:type="dxa"/>
              <w:left w:w="108" w:type="dxa"/>
              <w:bottom w:w="0" w:type="dxa"/>
              <w:right w:w="108" w:type="dxa"/>
            </w:tcMar>
            <w:vAlign w:val="bottom"/>
            <w:hideMark/>
          </w:tcPr>
          <w:p w14:paraId="5C297280" w14:textId="77777777" w:rsidR="00ED7EFC" w:rsidRDefault="00ED7EFC" w:rsidP="0068517E">
            <w:pPr>
              <w:spacing w:after="0"/>
              <w:jc w:val="right"/>
              <w:rPr>
                <w:rFonts w:ascii="Calibri" w:hAnsi="Calibri" w:cs="Calibri"/>
              </w:rPr>
            </w:pPr>
            <w:r>
              <w:t>5</w:t>
            </w:r>
          </w:p>
        </w:tc>
        <w:tc>
          <w:tcPr>
            <w:tcW w:w="0" w:type="auto"/>
            <w:noWrap/>
            <w:tcMar>
              <w:top w:w="0" w:type="dxa"/>
              <w:left w:w="108" w:type="dxa"/>
              <w:bottom w:w="0" w:type="dxa"/>
              <w:right w:w="108" w:type="dxa"/>
            </w:tcMar>
            <w:vAlign w:val="bottom"/>
            <w:hideMark/>
          </w:tcPr>
          <w:p w14:paraId="3D1A6EE5" w14:textId="77777777" w:rsidR="00ED7EFC" w:rsidRDefault="00ED7EFC" w:rsidP="0068517E">
            <w:pPr>
              <w:spacing w:after="0"/>
              <w:jc w:val="right"/>
            </w:pPr>
            <w:r>
              <w:t>10</w:t>
            </w:r>
          </w:p>
        </w:tc>
        <w:tc>
          <w:tcPr>
            <w:tcW w:w="0" w:type="auto"/>
            <w:noWrap/>
            <w:tcMar>
              <w:top w:w="0" w:type="dxa"/>
              <w:left w:w="108" w:type="dxa"/>
              <w:bottom w:w="0" w:type="dxa"/>
              <w:right w:w="108" w:type="dxa"/>
            </w:tcMar>
            <w:vAlign w:val="bottom"/>
            <w:hideMark/>
          </w:tcPr>
          <w:p w14:paraId="3A1D0B3A" w14:textId="77777777" w:rsidR="00ED7EFC" w:rsidRDefault="00ED7EFC" w:rsidP="0068517E">
            <w:pPr>
              <w:spacing w:after="0"/>
              <w:jc w:val="right"/>
            </w:pPr>
            <w:r>
              <w:t>20</w:t>
            </w:r>
          </w:p>
        </w:tc>
      </w:tr>
      <w:tr w:rsidR="00ED7EFC" w14:paraId="570AEAA8" w14:textId="77777777" w:rsidTr="0068517E">
        <w:trPr>
          <w:trHeight w:val="144"/>
          <w:jc w:val="center"/>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6B0405F8" w14:textId="77777777" w:rsidR="00ED7EFC" w:rsidRDefault="00ED7EFC" w:rsidP="0068517E">
            <w:pPr>
              <w:spacing w:after="0"/>
              <w:jc w:val="center"/>
            </w:pPr>
            <w:r>
              <w:t>2</w:t>
            </w:r>
          </w:p>
        </w:tc>
        <w:tc>
          <w:tcPr>
            <w:tcW w:w="0" w:type="auto"/>
            <w:noWrap/>
            <w:tcMar>
              <w:top w:w="0" w:type="dxa"/>
              <w:left w:w="108" w:type="dxa"/>
              <w:bottom w:w="0" w:type="dxa"/>
              <w:right w:w="108" w:type="dxa"/>
            </w:tcMar>
            <w:vAlign w:val="bottom"/>
            <w:hideMark/>
          </w:tcPr>
          <w:p w14:paraId="1465F5C1" w14:textId="77777777" w:rsidR="00ED7EFC" w:rsidRDefault="00ED7EFC" w:rsidP="0068517E">
            <w:pPr>
              <w:spacing w:after="0"/>
              <w:jc w:val="right"/>
            </w:pPr>
            <w:r>
              <w:t>2</w:t>
            </w:r>
          </w:p>
        </w:tc>
        <w:tc>
          <w:tcPr>
            <w:tcW w:w="0" w:type="auto"/>
            <w:noWrap/>
            <w:tcMar>
              <w:top w:w="0" w:type="dxa"/>
              <w:left w:w="108" w:type="dxa"/>
              <w:bottom w:w="0" w:type="dxa"/>
              <w:right w:w="108" w:type="dxa"/>
            </w:tcMar>
            <w:vAlign w:val="bottom"/>
            <w:hideMark/>
          </w:tcPr>
          <w:p w14:paraId="2691ADEE" w14:textId="77777777" w:rsidR="00ED7EFC" w:rsidRDefault="00ED7EFC" w:rsidP="0068517E">
            <w:pPr>
              <w:spacing w:after="0"/>
              <w:jc w:val="right"/>
            </w:pPr>
            <w:r>
              <w:t>4</w:t>
            </w:r>
          </w:p>
        </w:tc>
        <w:tc>
          <w:tcPr>
            <w:tcW w:w="0" w:type="auto"/>
            <w:noWrap/>
            <w:tcMar>
              <w:top w:w="0" w:type="dxa"/>
              <w:left w:w="108" w:type="dxa"/>
              <w:bottom w:w="0" w:type="dxa"/>
              <w:right w:w="108" w:type="dxa"/>
            </w:tcMar>
            <w:vAlign w:val="bottom"/>
            <w:hideMark/>
          </w:tcPr>
          <w:p w14:paraId="3DCA3B82" w14:textId="77777777" w:rsidR="00ED7EFC" w:rsidRDefault="00ED7EFC" w:rsidP="0068517E">
            <w:pPr>
              <w:spacing w:after="0"/>
              <w:jc w:val="right"/>
            </w:pPr>
            <w:r>
              <w:t>8</w:t>
            </w:r>
          </w:p>
        </w:tc>
        <w:tc>
          <w:tcPr>
            <w:tcW w:w="0" w:type="auto"/>
            <w:noWrap/>
            <w:tcMar>
              <w:top w:w="0" w:type="dxa"/>
              <w:left w:w="108" w:type="dxa"/>
              <w:bottom w:w="0" w:type="dxa"/>
              <w:right w:w="108" w:type="dxa"/>
            </w:tcMar>
            <w:vAlign w:val="bottom"/>
            <w:hideMark/>
          </w:tcPr>
          <w:p w14:paraId="1259BEF9" w14:textId="77777777" w:rsidR="00ED7EFC" w:rsidRDefault="00ED7EFC" w:rsidP="0068517E">
            <w:pPr>
              <w:spacing w:after="0"/>
              <w:jc w:val="right"/>
            </w:pPr>
            <w:r>
              <w:t>16</w:t>
            </w:r>
          </w:p>
        </w:tc>
        <w:tc>
          <w:tcPr>
            <w:tcW w:w="0" w:type="auto"/>
            <w:noWrap/>
            <w:tcMar>
              <w:top w:w="0" w:type="dxa"/>
              <w:left w:w="108" w:type="dxa"/>
              <w:bottom w:w="0" w:type="dxa"/>
              <w:right w:w="108" w:type="dxa"/>
            </w:tcMar>
            <w:vAlign w:val="bottom"/>
            <w:hideMark/>
          </w:tcPr>
          <w:p w14:paraId="18001AA5" w14:textId="77777777" w:rsidR="00ED7EFC" w:rsidRDefault="00ED7EFC" w:rsidP="0068517E">
            <w:pPr>
              <w:spacing w:after="0"/>
              <w:jc w:val="right"/>
            </w:pPr>
            <w:r>
              <w:t>32</w:t>
            </w:r>
          </w:p>
        </w:tc>
      </w:tr>
      <w:tr w:rsidR="00ED7EFC" w14:paraId="2C75D8A6" w14:textId="77777777" w:rsidTr="0068517E">
        <w:trPr>
          <w:trHeight w:val="144"/>
          <w:jc w:val="center"/>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58D90A25" w14:textId="77777777" w:rsidR="00ED7EFC" w:rsidRDefault="00ED7EFC" w:rsidP="0068517E">
            <w:pPr>
              <w:spacing w:after="0"/>
              <w:jc w:val="center"/>
            </w:pPr>
            <w:r>
              <w:t>2.5</w:t>
            </w:r>
          </w:p>
        </w:tc>
        <w:tc>
          <w:tcPr>
            <w:tcW w:w="0" w:type="auto"/>
            <w:noWrap/>
            <w:tcMar>
              <w:top w:w="0" w:type="dxa"/>
              <w:left w:w="108" w:type="dxa"/>
              <w:bottom w:w="0" w:type="dxa"/>
              <w:right w:w="108" w:type="dxa"/>
            </w:tcMar>
            <w:vAlign w:val="bottom"/>
            <w:hideMark/>
          </w:tcPr>
          <w:p w14:paraId="1967027D" w14:textId="77777777" w:rsidR="00ED7EFC" w:rsidRDefault="00ED7EFC" w:rsidP="0068517E">
            <w:pPr>
              <w:spacing w:after="0"/>
            </w:pPr>
          </w:p>
        </w:tc>
        <w:tc>
          <w:tcPr>
            <w:tcW w:w="0" w:type="auto"/>
            <w:noWrap/>
            <w:tcMar>
              <w:top w:w="0" w:type="dxa"/>
              <w:left w:w="108" w:type="dxa"/>
              <w:bottom w:w="0" w:type="dxa"/>
              <w:right w:w="108" w:type="dxa"/>
            </w:tcMar>
            <w:vAlign w:val="bottom"/>
            <w:hideMark/>
          </w:tcPr>
          <w:p w14:paraId="1FD72F1B" w14:textId="77777777" w:rsidR="00ED7EFC" w:rsidRDefault="00ED7EFC" w:rsidP="0068517E">
            <w:pPr>
              <w:spacing w:after="0"/>
              <w:jc w:val="right"/>
              <w:rPr>
                <w:rFonts w:ascii="Calibri" w:hAnsi="Calibri" w:cs="Calibri"/>
              </w:rPr>
            </w:pPr>
            <w:r>
              <w:t>5</w:t>
            </w:r>
          </w:p>
        </w:tc>
        <w:tc>
          <w:tcPr>
            <w:tcW w:w="0" w:type="auto"/>
            <w:noWrap/>
            <w:tcMar>
              <w:top w:w="0" w:type="dxa"/>
              <w:left w:w="108" w:type="dxa"/>
              <w:bottom w:w="0" w:type="dxa"/>
              <w:right w:w="108" w:type="dxa"/>
            </w:tcMar>
            <w:vAlign w:val="bottom"/>
            <w:hideMark/>
          </w:tcPr>
          <w:p w14:paraId="1D36F368" w14:textId="77777777" w:rsidR="00ED7EFC" w:rsidRDefault="00ED7EFC" w:rsidP="0068517E">
            <w:pPr>
              <w:spacing w:after="0"/>
              <w:jc w:val="right"/>
            </w:pPr>
            <w:r>
              <w:t>10</w:t>
            </w:r>
          </w:p>
        </w:tc>
        <w:tc>
          <w:tcPr>
            <w:tcW w:w="0" w:type="auto"/>
            <w:noWrap/>
            <w:tcMar>
              <w:top w:w="0" w:type="dxa"/>
              <w:left w:w="108" w:type="dxa"/>
              <w:bottom w:w="0" w:type="dxa"/>
              <w:right w:w="108" w:type="dxa"/>
            </w:tcMar>
            <w:vAlign w:val="bottom"/>
            <w:hideMark/>
          </w:tcPr>
          <w:p w14:paraId="60249307" w14:textId="77777777" w:rsidR="00ED7EFC" w:rsidRDefault="00ED7EFC" w:rsidP="0068517E">
            <w:pPr>
              <w:spacing w:after="0"/>
              <w:jc w:val="right"/>
            </w:pPr>
            <w:r>
              <w:t>20</w:t>
            </w:r>
          </w:p>
        </w:tc>
        <w:tc>
          <w:tcPr>
            <w:tcW w:w="0" w:type="auto"/>
            <w:noWrap/>
            <w:tcMar>
              <w:top w:w="0" w:type="dxa"/>
              <w:left w:w="108" w:type="dxa"/>
              <w:bottom w:w="0" w:type="dxa"/>
              <w:right w:w="108" w:type="dxa"/>
            </w:tcMar>
            <w:vAlign w:val="bottom"/>
            <w:hideMark/>
          </w:tcPr>
          <w:p w14:paraId="762960DC" w14:textId="77777777" w:rsidR="00ED7EFC" w:rsidRDefault="00ED7EFC" w:rsidP="0068517E">
            <w:pPr>
              <w:spacing w:after="0"/>
              <w:jc w:val="right"/>
            </w:pPr>
            <w:r>
              <w:t>40</w:t>
            </w:r>
          </w:p>
        </w:tc>
      </w:tr>
      <w:tr w:rsidR="00ED7EFC" w14:paraId="10E402CE" w14:textId="77777777" w:rsidTr="0068517E">
        <w:trPr>
          <w:trHeight w:val="144"/>
          <w:jc w:val="center"/>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4005348B" w14:textId="77777777" w:rsidR="00ED7EFC" w:rsidRDefault="00ED7EFC" w:rsidP="0068517E">
            <w:pPr>
              <w:spacing w:after="0"/>
              <w:jc w:val="center"/>
            </w:pPr>
            <w:r>
              <w:t>4</w:t>
            </w:r>
          </w:p>
        </w:tc>
        <w:tc>
          <w:tcPr>
            <w:tcW w:w="0" w:type="auto"/>
            <w:noWrap/>
            <w:tcMar>
              <w:top w:w="0" w:type="dxa"/>
              <w:left w:w="108" w:type="dxa"/>
              <w:bottom w:w="0" w:type="dxa"/>
              <w:right w:w="108" w:type="dxa"/>
            </w:tcMar>
            <w:vAlign w:val="bottom"/>
            <w:hideMark/>
          </w:tcPr>
          <w:p w14:paraId="22BD82FA" w14:textId="77777777" w:rsidR="00ED7EFC" w:rsidRDefault="00ED7EFC" w:rsidP="0068517E">
            <w:pPr>
              <w:spacing w:after="0"/>
              <w:jc w:val="right"/>
            </w:pPr>
            <w:r>
              <w:t>4</w:t>
            </w:r>
          </w:p>
        </w:tc>
        <w:tc>
          <w:tcPr>
            <w:tcW w:w="0" w:type="auto"/>
            <w:noWrap/>
            <w:tcMar>
              <w:top w:w="0" w:type="dxa"/>
              <w:left w:w="108" w:type="dxa"/>
              <w:bottom w:w="0" w:type="dxa"/>
              <w:right w:w="108" w:type="dxa"/>
            </w:tcMar>
            <w:vAlign w:val="bottom"/>
            <w:hideMark/>
          </w:tcPr>
          <w:p w14:paraId="5B56796D" w14:textId="77777777" w:rsidR="00ED7EFC" w:rsidRDefault="00ED7EFC" w:rsidP="0068517E">
            <w:pPr>
              <w:spacing w:after="0"/>
              <w:jc w:val="right"/>
            </w:pPr>
            <w:r>
              <w:t>8</w:t>
            </w:r>
          </w:p>
        </w:tc>
        <w:tc>
          <w:tcPr>
            <w:tcW w:w="0" w:type="auto"/>
            <w:noWrap/>
            <w:tcMar>
              <w:top w:w="0" w:type="dxa"/>
              <w:left w:w="108" w:type="dxa"/>
              <w:bottom w:w="0" w:type="dxa"/>
              <w:right w:w="108" w:type="dxa"/>
            </w:tcMar>
            <w:vAlign w:val="bottom"/>
            <w:hideMark/>
          </w:tcPr>
          <w:p w14:paraId="1F7D24D0" w14:textId="77777777" w:rsidR="00ED7EFC" w:rsidRDefault="00ED7EFC" w:rsidP="0068517E">
            <w:pPr>
              <w:spacing w:after="0"/>
              <w:jc w:val="right"/>
            </w:pPr>
            <w:r>
              <w:t>16</w:t>
            </w:r>
          </w:p>
        </w:tc>
        <w:tc>
          <w:tcPr>
            <w:tcW w:w="0" w:type="auto"/>
            <w:noWrap/>
            <w:tcMar>
              <w:top w:w="0" w:type="dxa"/>
              <w:left w:w="108" w:type="dxa"/>
              <w:bottom w:w="0" w:type="dxa"/>
              <w:right w:w="108" w:type="dxa"/>
            </w:tcMar>
            <w:vAlign w:val="bottom"/>
            <w:hideMark/>
          </w:tcPr>
          <w:p w14:paraId="1EFA0DB7" w14:textId="77777777" w:rsidR="00ED7EFC" w:rsidRDefault="00ED7EFC" w:rsidP="0068517E">
            <w:pPr>
              <w:spacing w:after="0"/>
              <w:jc w:val="right"/>
            </w:pPr>
            <w:r>
              <w:t>32</w:t>
            </w:r>
          </w:p>
        </w:tc>
        <w:tc>
          <w:tcPr>
            <w:tcW w:w="0" w:type="auto"/>
            <w:noWrap/>
            <w:tcMar>
              <w:top w:w="0" w:type="dxa"/>
              <w:left w:w="108" w:type="dxa"/>
              <w:bottom w:w="0" w:type="dxa"/>
              <w:right w:w="108" w:type="dxa"/>
            </w:tcMar>
            <w:vAlign w:val="bottom"/>
            <w:hideMark/>
          </w:tcPr>
          <w:p w14:paraId="79ECEA43" w14:textId="77777777" w:rsidR="00ED7EFC" w:rsidRDefault="00ED7EFC" w:rsidP="0068517E">
            <w:pPr>
              <w:spacing w:after="0"/>
              <w:jc w:val="right"/>
            </w:pPr>
            <w:r>
              <w:t>64</w:t>
            </w:r>
          </w:p>
        </w:tc>
      </w:tr>
      <w:tr w:rsidR="00ED7EFC" w14:paraId="5EAFDDBD" w14:textId="77777777" w:rsidTr="0068517E">
        <w:trPr>
          <w:trHeight w:val="144"/>
          <w:jc w:val="center"/>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164C530F" w14:textId="77777777" w:rsidR="00ED7EFC" w:rsidRDefault="00ED7EFC" w:rsidP="0068517E">
            <w:pPr>
              <w:spacing w:after="0"/>
              <w:jc w:val="center"/>
            </w:pPr>
            <w:r>
              <w:t>5</w:t>
            </w:r>
          </w:p>
        </w:tc>
        <w:tc>
          <w:tcPr>
            <w:tcW w:w="0" w:type="auto"/>
            <w:noWrap/>
            <w:tcMar>
              <w:top w:w="0" w:type="dxa"/>
              <w:left w:w="108" w:type="dxa"/>
              <w:bottom w:w="0" w:type="dxa"/>
              <w:right w:w="108" w:type="dxa"/>
            </w:tcMar>
            <w:vAlign w:val="bottom"/>
            <w:hideMark/>
          </w:tcPr>
          <w:p w14:paraId="091B1F19" w14:textId="77777777" w:rsidR="00ED7EFC" w:rsidRDefault="00ED7EFC" w:rsidP="0068517E">
            <w:pPr>
              <w:spacing w:after="0"/>
              <w:jc w:val="right"/>
            </w:pPr>
            <w:r>
              <w:t>5</w:t>
            </w:r>
          </w:p>
        </w:tc>
        <w:tc>
          <w:tcPr>
            <w:tcW w:w="0" w:type="auto"/>
            <w:noWrap/>
            <w:tcMar>
              <w:top w:w="0" w:type="dxa"/>
              <w:left w:w="108" w:type="dxa"/>
              <w:bottom w:w="0" w:type="dxa"/>
              <w:right w:w="108" w:type="dxa"/>
            </w:tcMar>
            <w:vAlign w:val="bottom"/>
            <w:hideMark/>
          </w:tcPr>
          <w:p w14:paraId="7084C1D8" w14:textId="77777777" w:rsidR="00ED7EFC" w:rsidRDefault="00ED7EFC" w:rsidP="0068517E">
            <w:pPr>
              <w:spacing w:after="0"/>
              <w:jc w:val="right"/>
            </w:pPr>
            <w:r>
              <w:t>10</w:t>
            </w:r>
          </w:p>
        </w:tc>
        <w:tc>
          <w:tcPr>
            <w:tcW w:w="0" w:type="auto"/>
            <w:noWrap/>
            <w:tcMar>
              <w:top w:w="0" w:type="dxa"/>
              <w:left w:w="108" w:type="dxa"/>
              <w:bottom w:w="0" w:type="dxa"/>
              <w:right w:w="108" w:type="dxa"/>
            </w:tcMar>
            <w:vAlign w:val="bottom"/>
            <w:hideMark/>
          </w:tcPr>
          <w:p w14:paraId="300D6B6A" w14:textId="77777777" w:rsidR="00ED7EFC" w:rsidRDefault="00ED7EFC" w:rsidP="0068517E">
            <w:pPr>
              <w:spacing w:after="0"/>
              <w:jc w:val="right"/>
            </w:pPr>
            <w:r>
              <w:t>20</w:t>
            </w:r>
          </w:p>
        </w:tc>
        <w:tc>
          <w:tcPr>
            <w:tcW w:w="0" w:type="auto"/>
            <w:noWrap/>
            <w:tcMar>
              <w:top w:w="0" w:type="dxa"/>
              <w:left w:w="108" w:type="dxa"/>
              <w:bottom w:w="0" w:type="dxa"/>
              <w:right w:w="108" w:type="dxa"/>
            </w:tcMar>
            <w:vAlign w:val="bottom"/>
            <w:hideMark/>
          </w:tcPr>
          <w:p w14:paraId="0DDE8360" w14:textId="77777777" w:rsidR="00ED7EFC" w:rsidRDefault="00ED7EFC" w:rsidP="0068517E">
            <w:pPr>
              <w:spacing w:after="0"/>
              <w:jc w:val="right"/>
            </w:pPr>
            <w:r>
              <w:t>40</w:t>
            </w:r>
          </w:p>
        </w:tc>
        <w:tc>
          <w:tcPr>
            <w:tcW w:w="0" w:type="auto"/>
            <w:noWrap/>
            <w:tcMar>
              <w:top w:w="0" w:type="dxa"/>
              <w:left w:w="108" w:type="dxa"/>
              <w:bottom w:w="0" w:type="dxa"/>
              <w:right w:w="108" w:type="dxa"/>
            </w:tcMar>
            <w:vAlign w:val="bottom"/>
            <w:hideMark/>
          </w:tcPr>
          <w:p w14:paraId="2C62A064" w14:textId="77777777" w:rsidR="00ED7EFC" w:rsidRDefault="00ED7EFC" w:rsidP="0068517E">
            <w:pPr>
              <w:spacing w:after="0"/>
              <w:jc w:val="right"/>
            </w:pPr>
            <w:r>
              <w:t>80</w:t>
            </w:r>
          </w:p>
        </w:tc>
      </w:tr>
      <w:tr w:rsidR="00ED7EFC" w14:paraId="4DE06F00" w14:textId="77777777" w:rsidTr="0068517E">
        <w:trPr>
          <w:trHeight w:val="144"/>
          <w:jc w:val="center"/>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1BDA8B75" w14:textId="77777777" w:rsidR="00ED7EFC" w:rsidRDefault="00ED7EFC" w:rsidP="0068517E">
            <w:pPr>
              <w:spacing w:after="0"/>
              <w:jc w:val="center"/>
            </w:pPr>
            <w:r>
              <w:t>10</w:t>
            </w:r>
          </w:p>
        </w:tc>
        <w:tc>
          <w:tcPr>
            <w:tcW w:w="0" w:type="auto"/>
            <w:noWrap/>
            <w:tcMar>
              <w:top w:w="0" w:type="dxa"/>
              <w:left w:w="108" w:type="dxa"/>
              <w:bottom w:w="0" w:type="dxa"/>
              <w:right w:w="108" w:type="dxa"/>
            </w:tcMar>
            <w:vAlign w:val="bottom"/>
            <w:hideMark/>
          </w:tcPr>
          <w:p w14:paraId="2A24BB48" w14:textId="77777777" w:rsidR="00ED7EFC" w:rsidRDefault="00ED7EFC" w:rsidP="0068517E">
            <w:pPr>
              <w:spacing w:after="0"/>
              <w:jc w:val="right"/>
            </w:pPr>
            <w:r>
              <w:t>10</w:t>
            </w:r>
          </w:p>
        </w:tc>
        <w:tc>
          <w:tcPr>
            <w:tcW w:w="0" w:type="auto"/>
            <w:noWrap/>
            <w:tcMar>
              <w:top w:w="0" w:type="dxa"/>
              <w:left w:w="108" w:type="dxa"/>
              <w:bottom w:w="0" w:type="dxa"/>
              <w:right w:w="108" w:type="dxa"/>
            </w:tcMar>
            <w:vAlign w:val="bottom"/>
            <w:hideMark/>
          </w:tcPr>
          <w:p w14:paraId="5E318056" w14:textId="77777777" w:rsidR="00ED7EFC" w:rsidRDefault="00ED7EFC" w:rsidP="0068517E">
            <w:pPr>
              <w:spacing w:after="0"/>
              <w:jc w:val="right"/>
            </w:pPr>
            <w:r>
              <w:t>20</w:t>
            </w:r>
          </w:p>
        </w:tc>
        <w:tc>
          <w:tcPr>
            <w:tcW w:w="0" w:type="auto"/>
            <w:noWrap/>
            <w:tcMar>
              <w:top w:w="0" w:type="dxa"/>
              <w:left w:w="108" w:type="dxa"/>
              <w:bottom w:w="0" w:type="dxa"/>
              <w:right w:w="108" w:type="dxa"/>
            </w:tcMar>
            <w:vAlign w:val="bottom"/>
            <w:hideMark/>
          </w:tcPr>
          <w:p w14:paraId="2C155283" w14:textId="77777777" w:rsidR="00ED7EFC" w:rsidRDefault="00ED7EFC" w:rsidP="0068517E">
            <w:pPr>
              <w:spacing w:after="0"/>
              <w:jc w:val="right"/>
            </w:pPr>
            <w:r>
              <w:t>40</w:t>
            </w:r>
          </w:p>
        </w:tc>
        <w:tc>
          <w:tcPr>
            <w:tcW w:w="0" w:type="auto"/>
            <w:noWrap/>
            <w:tcMar>
              <w:top w:w="0" w:type="dxa"/>
              <w:left w:w="108" w:type="dxa"/>
              <w:bottom w:w="0" w:type="dxa"/>
              <w:right w:w="108" w:type="dxa"/>
            </w:tcMar>
            <w:vAlign w:val="bottom"/>
            <w:hideMark/>
          </w:tcPr>
          <w:p w14:paraId="490B3B50" w14:textId="77777777" w:rsidR="00ED7EFC" w:rsidRDefault="00ED7EFC" w:rsidP="0068517E">
            <w:pPr>
              <w:spacing w:after="0"/>
              <w:jc w:val="right"/>
            </w:pPr>
            <w:r>
              <w:t>80</w:t>
            </w:r>
          </w:p>
        </w:tc>
        <w:tc>
          <w:tcPr>
            <w:tcW w:w="0" w:type="auto"/>
            <w:noWrap/>
            <w:tcMar>
              <w:top w:w="0" w:type="dxa"/>
              <w:left w:w="108" w:type="dxa"/>
              <w:bottom w:w="0" w:type="dxa"/>
              <w:right w:w="108" w:type="dxa"/>
            </w:tcMar>
            <w:vAlign w:val="bottom"/>
            <w:hideMark/>
          </w:tcPr>
          <w:p w14:paraId="4EEF5017" w14:textId="77777777" w:rsidR="00ED7EFC" w:rsidRDefault="00ED7EFC" w:rsidP="0068517E">
            <w:pPr>
              <w:spacing w:after="0"/>
              <w:jc w:val="right"/>
            </w:pPr>
            <w:r>
              <w:t>160</w:t>
            </w:r>
          </w:p>
        </w:tc>
      </w:tr>
      <w:tr w:rsidR="00ED7EFC" w14:paraId="4C63A55C" w14:textId="77777777" w:rsidTr="0068517E">
        <w:trPr>
          <w:trHeight w:val="144"/>
          <w:jc w:val="center"/>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360F3B60" w14:textId="77777777" w:rsidR="00ED7EFC" w:rsidRDefault="00ED7EFC" w:rsidP="0068517E">
            <w:pPr>
              <w:spacing w:after="0"/>
              <w:jc w:val="center"/>
            </w:pPr>
            <w:r>
              <w:t>20</w:t>
            </w:r>
          </w:p>
        </w:tc>
        <w:tc>
          <w:tcPr>
            <w:tcW w:w="0" w:type="auto"/>
            <w:noWrap/>
            <w:tcMar>
              <w:top w:w="0" w:type="dxa"/>
              <w:left w:w="108" w:type="dxa"/>
              <w:bottom w:w="0" w:type="dxa"/>
              <w:right w:w="108" w:type="dxa"/>
            </w:tcMar>
            <w:vAlign w:val="bottom"/>
            <w:hideMark/>
          </w:tcPr>
          <w:p w14:paraId="0165ACB1" w14:textId="77777777" w:rsidR="00ED7EFC" w:rsidRDefault="00ED7EFC" w:rsidP="0068517E">
            <w:pPr>
              <w:spacing w:after="0"/>
              <w:jc w:val="right"/>
            </w:pPr>
            <w:r>
              <w:t>20</w:t>
            </w:r>
          </w:p>
        </w:tc>
        <w:tc>
          <w:tcPr>
            <w:tcW w:w="0" w:type="auto"/>
            <w:noWrap/>
            <w:tcMar>
              <w:top w:w="0" w:type="dxa"/>
              <w:left w:w="108" w:type="dxa"/>
              <w:bottom w:w="0" w:type="dxa"/>
              <w:right w:w="108" w:type="dxa"/>
            </w:tcMar>
            <w:vAlign w:val="bottom"/>
            <w:hideMark/>
          </w:tcPr>
          <w:p w14:paraId="349EBB79" w14:textId="77777777" w:rsidR="00ED7EFC" w:rsidRDefault="00ED7EFC" w:rsidP="0068517E">
            <w:pPr>
              <w:spacing w:after="0"/>
              <w:jc w:val="right"/>
            </w:pPr>
            <w:r>
              <w:t>40</w:t>
            </w:r>
          </w:p>
        </w:tc>
        <w:tc>
          <w:tcPr>
            <w:tcW w:w="0" w:type="auto"/>
            <w:noWrap/>
            <w:tcMar>
              <w:top w:w="0" w:type="dxa"/>
              <w:left w:w="108" w:type="dxa"/>
              <w:bottom w:w="0" w:type="dxa"/>
              <w:right w:w="108" w:type="dxa"/>
            </w:tcMar>
            <w:vAlign w:val="bottom"/>
            <w:hideMark/>
          </w:tcPr>
          <w:p w14:paraId="488ADB23" w14:textId="77777777" w:rsidR="00ED7EFC" w:rsidRDefault="00ED7EFC" w:rsidP="0068517E">
            <w:pPr>
              <w:spacing w:after="0"/>
              <w:jc w:val="right"/>
            </w:pPr>
            <w:r>
              <w:t>80</w:t>
            </w:r>
          </w:p>
        </w:tc>
        <w:tc>
          <w:tcPr>
            <w:tcW w:w="0" w:type="auto"/>
            <w:noWrap/>
            <w:tcMar>
              <w:top w:w="0" w:type="dxa"/>
              <w:left w:w="108" w:type="dxa"/>
              <w:bottom w:w="0" w:type="dxa"/>
              <w:right w:w="108" w:type="dxa"/>
            </w:tcMar>
            <w:vAlign w:val="bottom"/>
            <w:hideMark/>
          </w:tcPr>
          <w:p w14:paraId="1205AC51" w14:textId="77777777" w:rsidR="00ED7EFC" w:rsidRDefault="00ED7EFC" w:rsidP="0068517E">
            <w:pPr>
              <w:spacing w:after="0"/>
              <w:jc w:val="right"/>
            </w:pPr>
            <w:r>
              <w:t>160</w:t>
            </w:r>
          </w:p>
        </w:tc>
        <w:tc>
          <w:tcPr>
            <w:tcW w:w="0" w:type="auto"/>
            <w:noWrap/>
            <w:tcMar>
              <w:top w:w="0" w:type="dxa"/>
              <w:left w:w="108" w:type="dxa"/>
              <w:bottom w:w="0" w:type="dxa"/>
              <w:right w:w="108" w:type="dxa"/>
            </w:tcMar>
            <w:vAlign w:val="bottom"/>
            <w:hideMark/>
          </w:tcPr>
          <w:p w14:paraId="7EB04C14" w14:textId="77777777" w:rsidR="00ED7EFC" w:rsidRDefault="00ED7EFC" w:rsidP="0068517E">
            <w:pPr>
              <w:spacing w:after="0"/>
              <w:jc w:val="right"/>
            </w:pPr>
            <w:r>
              <w:t>320</w:t>
            </w:r>
          </w:p>
        </w:tc>
      </w:tr>
    </w:tbl>
    <w:p w14:paraId="25CB8B45" w14:textId="77777777" w:rsidR="00ED7EFC" w:rsidRPr="008D2119" w:rsidRDefault="00ED7EFC" w:rsidP="00ED7EFC">
      <w:pPr>
        <w:pStyle w:val="BodyText"/>
      </w:pPr>
    </w:p>
    <w:p w14:paraId="0CAAAF89" w14:textId="77777777" w:rsidR="00ED7EFC" w:rsidRDefault="00ED7EFC" w:rsidP="00ED7EFC">
      <w:pPr>
        <w:pStyle w:val="BodyText"/>
        <w:rPr>
          <w:lang w:val="en-US"/>
        </w:rPr>
      </w:pPr>
      <w:r>
        <w:rPr>
          <w:lang w:val="en-US"/>
        </w:rPr>
        <w:t>Extracting the unique entries from this table, we arrive at the following list: {1, 2, 4, 5, 8, 10, 16, 20, 32, 40, 64, 80, 160, and 320} slots. Every one of these periodicity values is already supported for SRS, hence</w:t>
      </w:r>
    </w:p>
    <w:p w14:paraId="0B1CC99A" w14:textId="77777777" w:rsidR="00ED7EFC" w:rsidRDefault="00ED7EFC" w:rsidP="00ED7EFC">
      <w:pPr>
        <w:pStyle w:val="Proposal"/>
        <w:rPr>
          <w:lang w:val="en-US"/>
        </w:rPr>
      </w:pPr>
      <w:bookmarkStart w:id="22" w:name="_Toc506558804"/>
      <w:bookmarkStart w:id="23" w:name="_Toc506558839"/>
      <w:bookmarkStart w:id="24" w:name="_Toc506563964"/>
      <w:bookmarkStart w:id="25" w:name="_Toc506564013"/>
      <w:bookmarkStart w:id="26" w:name="_Toc506572871"/>
      <w:r>
        <w:rPr>
          <w:lang w:val="en-US"/>
        </w:rPr>
        <w:t>For periodic/semi-persistent SRS/CSI-RS, no further periodicities and slot offsets need to be defined for Rel-15.</w:t>
      </w:r>
      <w:bookmarkEnd w:id="22"/>
      <w:bookmarkEnd w:id="23"/>
      <w:bookmarkEnd w:id="24"/>
      <w:bookmarkEnd w:id="25"/>
      <w:bookmarkEnd w:id="26"/>
    </w:p>
    <w:p w14:paraId="56327F3C" w14:textId="77777777" w:rsidR="00C01F33" w:rsidRPr="00CE0424" w:rsidRDefault="00C01F33" w:rsidP="003A0E41">
      <w:pPr>
        <w:pStyle w:val="Heading1"/>
      </w:pPr>
      <w:r w:rsidRPr="00CE0424">
        <w:t>Conclusion</w:t>
      </w:r>
      <w:r w:rsidR="00AE2FEB">
        <w:t>s</w:t>
      </w:r>
    </w:p>
    <w:p w14:paraId="2EAF921B" w14:textId="77777777" w:rsidR="00ED7EFC" w:rsidRDefault="00ED7EFC" w:rsidP="00ED7EFC">
      <w:pPr>
        <w:pStyle w:val="BodyText"/>
      </w:pPr>
      <w:r>
        <w:t>In this contribution, we made the following observations</w:t>
      </w:r>
      <w:r w:rsidRPr="00CE0424">
        <w:t>:</w:t>
      </w:r>
    </w:p>
    <w:p w14:paraId="1864720A" w14:textId="77777777" w:rsidR="00025F5A" w:rsidRDefault="00ED7EFC">
      <w:pPr>
        <w:pStyle w:val="TOC1"/>
        <w:rPr>
          <w:rFonts w:asciiTheme="minorHAnsi" w:eastAsiaTheme="minorEastAsia" w:hAnsiTheme="minorHAnsi" w:cstheme="minorBidi"/>
          <w:b w:val="0"/>
          <w:sz w:val="22"/>
          <w:lang w:eastAsia="en-US"/>
        </w:rPr>
      </w:pPr>
      <w:r>
        <w:rPr>
          <w:bCs/>
        </w:rPr>
        <w:fldChar w:fldCharType="begin"/>
      </w:r>
      <w:r>
        <w:rPr>
          <w:bCs/>
        </w:rPr>
        <w:instrText xml:space="preserve"> TOC \n \t "Observation,1" </w:instrText>
      </w:r>
      <w:r>
        <w:rPr>
          <w:bCs/>
        </w:rPr>
        <w:fldChar w:fldCharType="separate"/>
      </w:r>
      <w:r w:rsidR="00025F5A">
        <w:t>Observation 1</w:t>
      </w:r>
      <w:r w:rsidR="00025F5A">
        <w:rPr>
          <w:rFonts w:asciiTheme="minorHAnsi" w:eastAsiaTheme="minorEastAsia" w:hAnsiTheme="minorHAnsi" w:cstheme="minorBidi"/>
          <w:b w:val="0"/>
          <w:sz w:val="22"/>
          <w:lang w:eastAsia="en-US"/>
        </w:rPr>
        <w:tab/>
      </w:r>
      <w:r w:rsidR="00025F5A">
        <w:t xml:space="preserve">The parameter </w:t>
      </w:r>
      <w:r w:rsidR="00025F5A" w:rsidRPr="005A7C4F">
        <w:rPr>
          <w:i/>
        </w:rPr>
        <w:t>SRS-SetUse</w:t>
      </w:r>
      <w:r w:rsidR="00025F5A">
        <w:t xml:space="preserve"> does not have a configuration specifically suited to support sounding of the full MIMO channel when T = R for the use case of reciprocity-based DL precoding.</w:t>
      </w:r>
    </w:p>
    <w:p w14:paraId="25A5B398" w14:textId="0B88C118" w:rsidR="00ED7EFC" w:rsidRDefault="00ED7EFC" w:rsidP="00ED7EFC">
      <w:pPr>
        <w:pStyle w:val="BodyText"/>
        <w:rPr>
          <w:b/>
          <w:bCs/>
        </w:rPr>
      </w:pPr>
      <w:r>
        <w:rPr>
          <w:bCs/>
          <w:noProof/>
          <w:szCs w:val="22"/>
          <w:lang w:val="en-US"/>
        </w:rPr>
        <w:fldChar w:fldCharType="end"/>
      </w:r>
    </w:p>
    <w:p w14:paraId="60E78690" w14:textId="77777777" w:rsidR="00ED7EFC" w:rsidRDefault="00ED7EFC" w:rsidP="00ED7EFC">
      <w:pPr>
        <w:pStyle w:val="BodyText"/>
      </w:pPr>
      <w:r>
        <w:t>We made the following proposals:</w:t>
      </w:r>
    </w:p>
    <w:p w14:paraId="4E5918AF" w14:textId="77777777" w:rsidR="00025F5A" w:rsidRDefault="00ED7EFC">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\f \n \p " " \t "Proposal,1" </w:instrText>
      </w:r>
      <w:r>
        <w:rPr>
          <w:b w:val="0"/>
          <w:bCs/>
        </w:rPr>
        <w:fldChar w:fldCharType="separate"/>
      </w:r>
      <w:r w:rsidR="00025F5A">
        <w:t>Proposal 1</w:t>
      </w:r>
      <w:r w:rsidR="00025F5A">
        <w:rPr>
          <w:rFonts w:asciiTheme="minorHAnsi" w:eastAsiaTheme="minorEastAsia" w:hAnsiTheme="minorHAnsi" w:cstheme="minorBidi"/>
          <w:b w:val="0"/>
          <w:sz w:val="22"/>
          <w:lang w:eastAsia="en-US"/>
        </w:rPr>
        <w:tab/>
      </w:r>
      <w:r w:rsidR="00025F5A">
        <w:t xml:space="preserve">Introduce an SRS set configuration to support sounding of the full MIMO channel when the number of UE transmit antennas equals the number of UE receive antennas (T = R) to support the use case of reciprocity-based DL precoding. Down-select to one of the following alternatives: - Alt1: The usage of the </w:t>
      </w:r>
      <w:r w:rsidR="00025F5A" w:rsidRPr="00486816">
        <w:rPr>
          <w:i/>
        </w:rPr>
        <w:t>SRS-SetUse</w:t>
      </w:r>
      <w:r w:rsidR="00025F5A">
        <w:t xml:space="preserve"> parameter value ‘AntennaSwitching’ is extended to also support the case when T = R. A simple TP in 38.214 is needed. - Alt2: An additional value for the RRC parameter </w:t>
      </w:r>
      <w:r w:rsidR="00025F5A" w:rsidRPr="00486816">
        <w:rPr>
          <w:i/>
        </w:rPr>
        <w:t>SRS-SetUse</w:t>
      </w:r>
      <w:r w:rsidR="00025F5A">
        <w:t xml:space="preserve"> is added, e.g. named ‘fullChannel’, to support sounding of the full MIMO channel when T = R.</w:t>
      </w:r>
    </w:p>
    <w:p w14:paraId="4B14CEC9" w14:textId="77777777" w:rsidR="00025F5A" w:rsidRDefault="00025F5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For cell-specific RRC configuration of DL/UL assignment, the configured DL/UL pattern duration (periodicity) shall divide 20 ms evenly. </w:t>
      </w:r>
      <w:r w:rsidRPr="00486816">
        <w:rPr>
          <w:rFonts w:ascii="Cambria Math" w:hAnsi="Cambria Math"/>
        </w:rPr>
        <w:t xml:space="preserve">  - </w:t>
      </w:r>
      <w:r>
        <w:t>That is, if only one periodicity is configured, X shall divide 20 ms evenly. If two periodicities are configured, X+Y shall divide 20 ms evenly</w:t>
      </w:r>
      <w:r w:rsidRPr="00486816">
        <w:rPr>
          <w:b w:val="0"/>
        </w:rPr>
        <w:t>.</w:t>
      </w:r>
    </w:p>
    <w:p w14:paraId="784DCD5B" w14:textId="77777777" w:rsidR="00025F5A" w:rsidRDefault="00025F5A">
      <w:pPr>
        <w:pStyle w:val="TOC1"/>
        <w:rPr>
          <w:rFonts w:asciiTheme="minorHAnsi" w:eastAsiaTheme="minorEastAsia" w:hAnsiTheme="minorHAnsi" w:cstheme="minorBidi"/>
          <w:b w:val="0"/>
          <w:sz w:val="22"/>
          <w:lang w:eastAsia="en-US"/>
        </w:rPr>
      </w:pPr>
      <w:r w:rsidRPr="00486816">
        <w:t>Proposal 3</w:t>
      </w:r>
      <w:r>
        <w:rPr>
          <w:rFonts w:asciiTheme="minorHAnsi" w:eastAsiaTheme="minorEastAsia" w:hAnsiTheme="minorHAnsi" w:cstheme="minorBidi"/>
          <w:b w:val="0"/>
          <w:sz w:val="22"/>
          <w:lang w:eastAsia="en-US"/>
        </w:rPr>
        <w:tab/>
      </w:r>
      <w:r w:rsidRPr="00486816">
        <w:t>For periodic/semi-persistent SRS/CSI-RS, no further periodicities and slot offsets need to be defined for Rel-15.</w:t>
      </w:r>
    </w:p>
    <w:p w14:paraId="60B357CF" w14:textId="554B8C7A" w:rsidR="00C01F33" w:rsidRPr="00790B99" w:rsidRDefault="00ED7EFC" w:rsidP="00ED7EFC">
      <w:pPr>
        <w:pStyle w:val="BodyText"/>
        <w:rPr>
          <w:b/>
          <w:bCs/>
        </w:rPr>
      </w:pPr>
      <w:r>
        <w:rPr>
          <w:b/>
          <w:bCs/>
        </w:rPr>
        <w:fldChar w:fldCharType="end"/>
      </w:r>
    </w:p>
    <w:p w14:paraId="5B3C850D" w14:textId="48AD509C" w:rsidR="00F507D1" w:rsidRPr="00CE0424" w:rsidRDefault="00F507D1" w:rsidP="00CE0424">
      <w:pPr>
        <w:pStyle w:val="Heading1"/>
      </w:pPr>
      <w:bookmarkStart w:id="27" w:name="_In-sequence_SDU_delivery"/>
      <w:bookmarkEnd w:id="27"/>
      <w:r w:rsidRPr="00CE0424">
        <w:t>References</w:t>
      </w:r>
    </w:p>
    <w:p w14:paraId="1D9E9E8F" w14:textId="7DEF4BE3" w:rsidR="0029080E" w:rsidRDefault="0029080E" w:rsidP="0029080E">
      <w:pPr>
        <w:pStyle w:val="Reference"/>
      </w:pPr>
      <w:bookmarkStart w:id="28" w:name="_Ref503285570"/>
      <w:r>
        <w:t xml:space="preserve">3GPP TS 38.211 V15.0.0, “Physical channels and modulation,” </w:t>
      </w:r>
      <w:r w:rsidR="006166DE">
        <w:t>February</w:t>
      </w:r>
      <w:r>
        <w:t xml:space="preserve"> 201</w:t>
      </w:r>
      <w:r w:rsidR="006166DE">
        <w:t>8</w:t>
      </w:r>
      <w:r>
        <w:t>.</w:t>
      </w:r>
      <w:bookmarkEnd w:id="28"/>
    </w:p>
    <w:p w14:paraId="3EFE2C13" w14:textId="689C6270" w:rsidR="006166DE" w:rsidRPr="00CE0424" w:rsidRDefault="006166DE" w:rsidP="006166DE">
      <w:pPr>
        <w:pStyle w:val="Reference"/>
      </w:pPr>
      <w:bookmarkStart w:id="29" w:name="_Ref506553144"/>
      <w:r>
        <w:t>3GPP TS 38.214 V15.0.1, “</w:t>
      </w:r>
      <w:r w:rsidRPr="00C64F21">
        <w:t>Physical layer procedures for data</w:t>
      </w:r>
      <w:r>
        <w:t>,” February 2018.</w:t>
      </w:r>
      <w:bookmarkEnd w:id="29"/>
    </w:p>
    <w:p w14:paraId="72DBEDFE" w14:textId="1B06BEA0" w:rsidR="0029080E" w:rsidRDefault="00CD3F83" w:rsidP="003C2BEB">
      <w:pPr>
        <w:pStyle w:val="Reference"/>
      </w:pPr>
      <w:bookmarkStart w:id="30" w:name="_Ref506553566"/>
      <w:r>
        <w:t>Draft CR 3GPP TS 38.331 V15.0.1</w:t>
      </w:r>
      <w:r w:rsidR="003C2BEB">
        <w:t>, “Radio Resource Control (RRC) Protocol specification</w:t>
      </w:r>
      <w:r w:rsidR="00A40DF0">
        <w:t>,</w:t>
      </w:r>
      <w:r w:rsidR="003C2BEB">
        <w:t>” February 2018.</w:t>
      </w:r>
      <w:bookmarkEnd w:id="30"/>
    </w:p>
    <w:p w14:paraId="5D2E2493" w14:textId="77777777" w:rsidR="00ED7EFC" w:rsidRDefault="00ED7EFC" w:rsidP="00ED7EFC">
      <w:pPr>
        <w:pStyle w:val="Reference"/>
      </w:pPr>
      <w:bookmarkStart w:id="31" w:name="_Ref506557732"/>
      <w:r>
        <w:t>R1-1802904, “Remaining issues of GC-PDCCH,” Ericsson, RAN1#92, February 2018.</w:t>
      </w:r>
      <w:bookmarkEnd w:id="31"/>
    </w:p>
    <w:p w14:paraId="6CCBD2FE" w14:textId="6550232C" w:rsidR="00ED7EFC" w:rsidRPr="00CE0424" w:rsidRDefault="00ED7EFC" w:rsidP="00ED7EFC">
      <w:pPr>
        <w:pStyle w:val="Reference"/>
      </w:pPr>
      <w:bookmarkStart w:id="32" w:name="_Ref506557735"/>
      <w:r>
        <w:t>R1-1802940, “Remaining details on synchronization signal,” Ericsson, RAN1#92, February 2018.</w:t>
      </w:r>
      <w:bookmarkEnd w:id="32"/>
    </w:p>
    <w:sectPr w:rsidR="00ED7EFC" w:rsidRPr="00CE042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2BD7F" w14:textId="77777777" w:rsidR="00D10669" w:rsidRDefault="00D10669">
      <w:r>
        <w:separator/>
      </w:r>
    </w:p>
  </w:endnote>
  <w:endnote w:type="continuationSeparator" w:id="0">
    <w:p w14:paraId="132A57DF" w14:textId="77777777" w:rsidR="00D10669" w:rsidRDefault="00D10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604020E8" w:rsidR="0068517E" w:rsidRDefault="006851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617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617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BE110" w14:textId="77777777" w:rsidR="00D10669" w:rsidRDefault="00D10669">
      <w:r>
        <w:separator/>
      </w:r>
    </w:p>
  </w:footnote>
  <w:footnote w:type="continuationSeparator" w:id="0">
    <w:p w14:paraId="08603ACA" w14:textId="77777777" w:rsidR="00D10669" w:rsidRDefault="00D10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68517E" w:rsidRDefault="0068517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004862"/>
    <w:multiLevelType w:val="hybridMultilevel"/>
    <w:tmpl w:val="45B22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cs="Times New Roman" w:hint="default"/>
      </w:rPr>
    </w:lvl>
    <w:lvl w:ilvl="1" w:tplc="BA0AC1D0">
      <w:start w:val="25"/>
      <w:numFmt w:val="bullet"/>
      <w:lvlText w:val="•"/>
      <w:lvlJc w:val="left"/>
      <w:pPr>
        <w:tabs>
          <w:tab w:val="num" w:pos="1440"/>
        </w:tabs>
        <w:ind w:left="1440" w:hanging="360"/>
      </w:pPr>
      <w:rPr>
        <w:rFonts w:ascii="Arial" w:hAnsi="Arial" w:cs="Times New Roman" w:hint="default"/>
      </w:rPr>
    </w:lvl>
    <w:lvl w:ilvl="2" w:tplc="E0BC48F2">
      <w:start w:val="1"/>
      <w:numFmt w:val="bullet"/>
      <w:lvlText w:val="•"/>
      <w:lvlJc w:val="left"/>
      <w:pPr>
        <w:tabs>
          <w:tab w:val="num" w:pos="2160"/>
        </w:tabs>
        <w:ind w:left="2160" w:hanging="360"/>
      </w:pPr>
      <w:rPr>
        <w:rFonts w:ascii="Arial" w:hAnsi="Arial" w:cs="Times New Roman" w:hint="default"/>
      </w:rPr>
    </w:lvl>
    <w:lvl w:ilvl="3" w:tplc="CB96C2F2">
      <w:start w:val="1"/>
      <w:numFmt w:val="bullet"/>
      <w:lvlText w:val="•"/>
      <w:lvlJc w:val="left"/>
      <w:pPr>
        <w:tabs>
          <w:tab w:val="num" w:pos="2880"/>
        </w:tabs>
        <w:ind w:left="2880" w:hanging="360"/>
      </w:pPr>
      <w:rPr>
        <w:rFonts w:ascii="Arial" w:hAnsi="Arial" w:cs="Times New Roman" w:hint="default"/>
      </w:rPr>
    </w:lvl>
    <w:lvl w:ilvl="4" w:tplc="77B6E7A4">
      <w:start w:val="1"/>
      <w:numFmt w:val="bullet"/>
      <w:lvlText w:val="•"/>
      <w:lvlJc w:val="left"/>
      <w:pPr>
        <w:tabs>
          <w:tab w:val="num" w:pos="3600"/>
        </w:tabs>
        <w:ind w:left="3600" w:hanging="360"/>
      </w:pPr>
      <w:rPr>
        <w:rFonts w:ascii="Arial" w:hAnsi="Arial" w:cs="Times New Roman" w:hint="default"/>
      </w:rPr>
    </w:lvl>
    <w:lvl w:ilvl="5" w:tplc="0E7AA782">
      <w:start w:val="1"/>
      <w:numFmt w:val="bullet"/>
      <w:lvlText w:val="•"/>
      <w:lvlJc w:val="left"/>
      <w:pPr>
        <w:tabs>
          <w:tab w:val="num" w:pos="4320"/>
        </w:tabs>
        <w:ind w:left="4320" w:hanging="360"/>
      </w:pPr>
      <w:rPr>
        <w:rFonts w:ascii="Arial" w:hAnsi="Arial" w:cs="Times New Roman" w:hint="default"/>
      </w:rPr>
    </w:lvl>
    <w:lvl w:ilvl="6" w:tplc="B038E04A">
      <w:start w:val="1"/>
      <w:numFmt w:val="bullet"/>
      <w:lvlText w:val="•"/>
      <w:lvlJc w:val="left"/>
      <w:pPr>
        <w:tabs>
          <w:tab w:val="num" w:pos="5040"/>
        </w:tabs>
        <w:ind w:left="5040" w:hanging="360"/>
      </w:pPr>
      <w:rPr>
        <w:rFonts w:ascii="Arial" w:hAnsi="Arial" w:cs="Times New Roman" w:hint="default"/>
      </w:rPr>
    </w:lvl>
    <w:lvl w:ilvl="7" w:tplc="255A43E8">
      <w:start w:val="1"/>
      <w:numFmt w:val="bullet"/>
      <w:lvlText w:val="•"/>
      <w:lvlJc w:val="left"/>
      <w:pPr>
        <w:tabs>
          <w:tab w:val="num" w:pos="5760"/>
        </w:tabs>
        <w:ind w:left="5760" w:hanging="360"/>
      </w:pPr>
      <w:rPr>
        <w:rFonts w:ascii="Arial" w:hAnsi="Arial" w:cs="Times New Roman" w:hint="default"/>
      </w:rPr>
    </w:lvl>
    <w:lvl w:ilvl="8" w:tplc="9306C04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E945F5"/>
    <w:multiLevelType w:val="hybridMultilevel"/>
    <w:tmpl w:val="BDB8D726"/>
    <w:lvl w:ilvl="0" w:tplc="039491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D849DE"/>
    <w:multiLevelType w:val="hybridMultilevel"/>
    <w:tmpl w:val="3C06FAF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6"/>
  </w:num>
  <w:num w:numId="6">
    <w:abstractNumId w:val="14"/>
  </w:num>
  <w:num w:numId="7">
    <w:abstractNumId w:val="18"/>
  </w:num>
  <w:num w:numId="8">
    <w:abstractNumId w:val="7"/>
  </w:num>
  <w:num w:numId="9">
    <w:abstractNumId w:val="5"/>
  </w:num>
  <w:num w:numId="10">
    <w:abstractNumId w:val="2"/>
  </w:num>
  <w:num w:numId="11">
    <w:abstractNumId w:val="1"/>
  </w:num>
  <w:num w:numId="12">
    <w:abstractNumId w:val="0"/>
  </w:num>
  <w:num w:numId="13">
    <w:abstractNumId w:val="17"/>
  </w:num>
  <w:num w:numId="14">
    <w:abstractNumId w:val="10"/>
  </w:num>
  <w:num w:numId="15">
    <w:abstractNumId w:val="11"/>
  </w:num>
  <w:num w:numId="16">
    <w:abstractNumId w:val="8"/>
  </w:num>
  <w:num w:numId="17">
    <w:abstractNumId w:val="19"/>
    <w:lvlOverride w:ilvl="0">
      <w:startOverride w:val="1"/>
    </w:lvlOverride>
    <w:lvlOverride w:ilvl="1"/>
    <w:lvlOverride w:ilvl="2"/>
    <w:lvlOverride w:ilvl="3"/>
    <w:lvlOverride w:ilvl="4"/>
    <w:lvlOverride w:ilvl="5"/>
    <w:lvlOverride w:ilvl="6"/>
    <w:lvlOverride w:ilvl="7"/>
    <w:lvlOverride w:ilvl="8"/>
  </w:num>
  <w:num w:numId="18">
    <w:abstractNumId w:val="9"/>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7"/>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351"/>
    <w:rsid w:val="00002A37"/>
    <w:rsid w:val="00003F5E"/>
    <w:rsid w:val="00006446"/>
    <w:rsid w:val="00006896"/>
    <w:rsid w:val="00007CDC"/>
    <w:rsid w:val="00011B28"/>
    <w:rsid w:val="00015D15"/>
    <w:rsid w:val="00022AE7"/>
    <w:rsid w:val="0002564D"/>
    <w:rsid w:val="00025ECA"/>
    <w:rsid w:val="00025F5A"/>
    <w:rsid w:val="00030B30"/>
    <w:rsid w:val="000325B8"/>
    <w:rsid w:val="00034C15"/>
    <w:rsid w:val="00036BA1"/>
    <w:rsid w:val="00042009"/>
    <w:rsid w:val="000422E2"/>
    <w:rsid w:val="00042F22"/>
    <w:rsid w:val="000444EF"/>
    <w:rsid w:val="00052A07"/>
    <w:rsid w:val="00052E93"/>
    <w:rsid w:val="000534E3"/>
    <w:rsid w:val="0005606A"/>
    <w:rsid w:val="00057117"/>
    <w:rsid w:val="000616E7"/>
    <w:rsid w:val="0006487E"/>
    <w:rsid w:val="00065E1A"/>
    <w:rsid w:val="00073E6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E8C"/>
    <w:rsid w:val="000C2E19"/>
    <w:rsid w:val="000C4C24"/>
    <w:rsid w:val="000C5734"/>
    <w:rsid w:val="000D0D07"/>
    <w:rsid w:val="000D4797"/>
    <w:rsid w:val="000D4D2B"/>
    <w:rsid w:val="000E0527"/>
    <w:rsid w:val="000E1E92"/>
    <w:rsid w:val="000E6423"/>
    <w:rsid w:val="000F06D6"/>
    <w:rsid w:val="000F0EB1"/>
    <w:rsid w:val="000F1106"/>
    <w:rsid w:val="000F1BA2"/>
    <w:rsid w:val="000F3BE9"/>
    <w:rsid w:val="000F3F6C"/>
    <w:rsid w:val="000F6DF3"/>
    <w:rsid w:val="000F79E5"/>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FB6"/>
    <w:rsid w:val="001468F5"/>
    <w:rsid w:val="00151E23"/>
    <w:rsid w:val="001526E0"/>
    <w:rsid w:val="0015373E"/>
    <w:rsid w:val="001551B5"/>
    <w:rsid w:val="00156291"/>
    <w:rsid w:val="001642D1"/>
    <w:rsid w:val="001659C1"/>
    <w:rsid w:val="00173A8E"/>
    <w:rsid w:val="0018143F"/>
    <w:rsid w:val="001868F8"/>
    <w:rsid w:val="00190AC1"/>
    <w:rsid w:val="0019341A"/>
    <w:rsid w:val="00197DF9"/>
    <w:rsid w:val="001A1987"/>
    <w:rsid w:val="001A2564"/>
    <w:rsid w:val="001A6173"/>
    <w:rsid w:val="001A6CBA"/>
    <w:rsid w:val="001A7776"/>
    <w:rsid w:val="001A77C2"/>
    <w:rsid w:val="001B0D97"/>
    <w:rsid w:val="001B5A5D"/>
    <w:rsid w:val="001C1CE5"/>
    <w:rsid w:val="001C21D1"/>
    <w:rsid w:val="001C3D2A"/>
    <w:rsid w:val="001D3AA2"/>
    <w:rsid w:val="001D51BA"/>
    <w:rsid w:val="001D6342"/>
    <w:rsid w:val="001D6D53"/>
    <w:rsid w:val="001E2560"/>
    <w:rsid w:val="001E2D82"/>
    <w:rsid w:val="001E432C"/>
    <w:rsid w:val="001E58E2"/>
    <w:rsid w:val="001E7AED"/>
    <w:rsid w:val="001F3916"/>
    <w:rsid w:val="001F3C28"/>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3F47"/>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6B29"/>
    <w:rsid w:val="00287838"/>
    <w:rsid w:val="002907B5"/>
    <w:rsid w:val="0029080E"/>
    <w:rsid w:val="00292EB7"/>
    <w:rsid w:val="00296227"/>
    <w:rsid w:val="00296F44"/>
    <w:rsid w:val="0029777D"/>
    <w:rsid w:val="002A055E"/>
    <w:rsid w:val="002A1D4E"/>
    <w:rsid w:val="002A2869"/>
    <w:rsid w:val="002B24D6"/>
    <w:rsid w:val="002B65B8"/>
    <w:rsid w:val="002C41E6"/>
    <w:rsid w:val="002D071A"/>
    <w:rsid w:val="002D34B2"/>
    <w:rsid w:val="002D7637"/>
    <w:rsid w:val="002E17F2"/>
    <w:rsid w:val="002E7CAE"/>
    <w:rsid w:val="002F2771"/>
    <w:rsid w:val="002F37A9"/>
    <w:rsid w:val="002F6288"/>
    <w:rsid w:val="00301CE6"/>
    <w:rsid w:val="0030256B"/>
    <w:rsid w:val="0030501F"/>
    <w:rsid w:val="00307BA1"/>
    <w:rsid w:val="00310DDA"/>
    <w:rsid w:val="00311702"/>
    <w:rsid w:val="00311E82"/>
    <w:rsid w:val="00313FD6"/>
    <w:rsid w:val="003143BD"/>
    <w:rsid w:val="003157B7"/>
    <w:rsid w:val="003203ED"/>
    <w:rsid w:val="00322C9F"/>
    <w:rsid w:val="00324D23"/>
    <w:rsid w:val="00327997"/>
    <w:rsid w:val="00331751"/>
    <w:rsid w:val="00331B7B"/>
    <w:rsid w:val="00334579"/>
    <w:rsid w:val="00335858"/>
    <w:rsid w:val="00335FCE"/>
    <w:rsid w:val="00336BDA"/>
    <w:rsid w:val="003426DD"/>
    <w:rsid w:val="00342BD7"/>
    <w:rsid w:val="00346DB5"/>
    <w:rsid w:val="003477B1"/>
    <w:rsid w:val="00347E78"/>
    <w:rsid w:val="003528BD"/>
    <w:rsid w:val="00356A14"/>
    <w:rsid w:val="00357380"/>
    <w:rsid w:val="003602D9"/>
    <w:rsid w:val="003604CE"/>
    <w:rsid w:val="00370E47"/>
    <w:rsid w:val="003742AC"/>
    <w:rsid w:val="00374ADB"/>
    <w:rsid w:val="00377CE1"/>
    <w:rsid w:val="003801FC"/>
    <w:rsid w:val="00385BF0"/>
    <w:rsid w:val="00386439"/>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2BEB"/>
    <w:rsid w:val="003C7806"/>
    <w:rsid w:val="003D109F"/>
    <w:rsid w:val="003D2478"/>
    <w:rsid w:val="003D3C45"/>
    <w:rsid w:val="003D5B1F"/>
    <w:rsid w:val="003E15FA"/>
    <w:rsid w:val="003E43F9"/>
    <w:rsid w:val="003E55E4"/>
    <w:rsid w:val="003E5E2E"/>
    <w:rsid w:val="003E6E72"/>
    <w:rsid w:val="003E74E3"/>
    <w:rsid w:val="003F05C7"/>
    <w:rsid w:val="003F2CD4"/>
    <w:rsid w:val="003F3138"/>
    <w:rsid w:val="003F6BBE"/>
    <w:rsid w:val="004000E8"/>
    <w:rsid w:val="00402E2B"/>
    <w:rsid w:val="004033B5"/>
    <w:rsid w:val="004050EA"/>
    <w:rsid w:val="0040512B"/>
    <w:rsid w:val="00405CA5"/>
    <w:rsid w:val="00407CD3"/>
    <w:rsid w:val="00410134"/>
    <w:rsid w:val="00410B72"/>
    <w:rsid w:val="00410C99"/>
    <w:rsid w:val="00410F18"/>
    <w:rsid w:val="0041263E"/>
    <w:rsid w:val="00413AAC"/>
    <w:rsid w:val="00413E92"/>
    <w:rsid w:val="00417D75"/>
    <w:rsid w:val="00421105"/>
    <w:rsid w:val="004242F4"/>
    <w:rsid w:val="00427248"/>
    <w:rsid w:val="00437447"/>
    <w:rsid w:val="00441782"/>
    <w:rsid w:val="00441A92"/>
    <w:rsid w:val="00444F56"/>
    <w:rsid w:val="00446488"/>
    <w:rsid w:val="0044675E"/>
    <w:rsid w:val="004517AA"/>
    <w:rsid w:val="00452CAC"/>
    <w:rsid w:val="00457565"/>
    <w:rsid w:val="00457B71"/>
    <w:rsid w:val="00465ABC"/>
    <w:rsid w:val="004669E2"/>
    <w:rsid w:val="00470C31"/>
    <w:rsid w:val="004734D0"/>
    <w:rsid w:val="00473AC5"/>
    <w:rsid w:val="0047556B"/>
    <w:rsid w:val="00477768"/>
    <w:rsid w:val="00492BC5"/>
    <w:rsid w:val="00493226"/>
    <w:rsid w:val="004964F1"/>
    <w:rsid w:val="004A16A0"/>
    <w:rsid w:val="004A16BC"/>
    <w:rsid w:val="004A2B94"/>
    <w:rsid w:val="004A350D"/>
    <w:rsid w:val="004B669A"/>
    <w:rsid w:val="004B7C0C"/>
    <w:rsid w:val="004C3898"/>
    <w:rsid w:val="004C4AAB"/>
    <w:rsid w:val="004C65DA"/>
    <w:rsid w:val="004D36B1"/>
    <w:rsid w:val="004D7EBD"/>
    <w:rsid w:val="004E2680"/>
    <w:rsid w:val="004E28F9"/>
    <w:rsid w:val="004E462E"/>
    <w:rsid w:val="004E56DC"/>
    <w:rsid w:val="004E76F4"/>
    <w:rsid w:val="004F0B4E"/>
    <w:rsid w:val="004F0B6C"/>
    <w:rsid w:val="004F2078"/>
    <w:rsid w:val="004F4DA3"/>
    <w:rsid w:val="004F5D4B"/>
    <w:rsid w:val="005020E7"/>
    <w:rsid w:val="0050381C"/>
    <w:rsid w:val="00506557"/>
    <w:rsid w:val="0050677A"/>
    <w:rsid w:val="00507994"/>
    <w:rsid w:val="005108D8"/>
    <w:rsid w:val="005116F9"/>
    <w:rsid w:val="005153A7"/>
    <w:rsid w:val="00521844"/>
    <w:rsid w:val="005219CF"/>
    <w:rsid w:val="005233B7"/>
    <w:rsid w:val="00534B59"/>
    <w:rsid w:val="00536759"/>
    <w:rsid w:val="00537C62"/>
    <w:rsid w:val="00542D45"/>
    <w:rsid w:val="00546970"/>
    <w:rsid w:val="00554192"/>
    <w:rsid w:val="00554E19"/>
    <w:rsid w:val="00560B2C"/>
    <w:rsid w:val="0056121F"/>
    <w:rsid w:val="005703DB"/>
    <w:rsid w:val="00572505"/>
    <w:rsid w:val="00575DA6"/>
    <w:rsid w:val="00582809"/>
    <w:rsid w:val="00583D71"/>
    <w:rsid w:val="0058798C"/>
    <w:rsid w:val="005900FA"/>
    <w:rsid w:val="005935A4"/>
    <w:rsid w:val="00594505"/>
    <w:rsid w:val="005948C2"/>
    <w:rsid w:val="005954EC"/>
    <w:rsid w:val="00595DCA"/>
    <w:rsid w:val="0059779B"/>
    <w:rsid w:val="005A209A"/>
    <w:rsid w:val="005A662D"/>
    <w:rsid w:val="005B35D7"/>
    <w:rsid w:val="005B392A"/>
    <w:rsid w:val="005B3AA3"/>
    <w:rsid w:val="005B6F83"/>
    <w:rsid w:val="005C6DD7"/>
    <w:rsid w:val="005C74FB"/>
    <w:rsid w:val="005D1602"/>
    <w:rsid w:val="005E0E76"/>
    <w:rsid w:val="005E385F"/>
    <w:rsid w:val="005E5B81"/>
    <w:rsid w:val="005E6EC4"/>
    <w:rsid w:val="005F2CB1"/>
    <w:rsid w:val="005F3025"/>
    <w:rsid w:val="005F618C"/>
    <w:rsid w:val="005F70BD"/>
    <w:rsid w:val="0060283C"/>
    <w:rsid w:val="00604381"/>
    <w:rsid w:val="00604F14"/>
    <w:rsid w:val="0061036E"/>
    <w:rsid w:val="00611B83"/>
    <w:rsid w:val="00613257"/>
    <w:rsid w:val="006166DE"/>
    <w:rsid w:val="00617932"/>
    <w:rsid w:val="00620A71"/>
    <w:rsid w:val="00620D80"/>
    <w:rsid w:val="006234A6"/>
    <w:rsid w:val="00630001"/>
    <w:rsid w:val="006309A2"/>
    <w:rsid w:val="006311B3"/>
    <w:rsid w:val="0063284C"/>
    <w:rsid w:val="00636398"/>
    <w:rsid w:val="006368D3"/>
    <w:rsid w:val="006377EC"/>
    <w:rsid w:val="0064151F"/>
    <w:rsid w:val="00641533"/>
    <w:rsid w:val="0064208D"/>
    <w:rsid w:val="00643475"/>
    <w:rsid w:val="0064396A"/>
    <w:rsid w:val="0064624E"/>
    <w:rsid w:val="006507F5"/>
    <w:rsid w:val="00650AB9"/>
    <w:rsid w:val="00655733"/>
    <w:rsid w:val="00655ACD"/>
    <w:rsid w:val="00656A92"/>
    <w:rsid w:val="00656DDE"/>
    <w:rsid w:val="0066011D"/>
    <w:rsid w:val="006607C0"/>
    <w:rsid w:val="006613A6"/>
    <w:rsid w:val="006627A2"/>
    <w:rsid w:val="006634E6"/>
    <w:rsid w:val="006638E9"/>
    <w:rsid w:val="006655EE"/>
    <w:rsid w:val="00667E78"/>
    <w:rsid w:val="00667EE7"/>
    <w:rsid w:val="00670922"/>
    <w:rsid w:val="00670BE1"/>
    <w:rsid w:val="0067218F"/>
    <w:rsid w:val="006741F2"/>
    <w:rsid w:val="00674CC3"/>
    <w:rsid w:val="00675C72"/>
    <w:rsid w:val="00676C78"/>
    <w:rsid w:val="006771F9"/>
    <w:rsid w:val="006776D7"/>
    <w:rsid w:val="00681003"/>
    <w:rsid w:val="00681408"/>
    <w:rsid w:val="006817C9"/>
    <w:rsid w:val="00682506"/>
    <w:rsid w:val="00683ECE"/>
    <w:rsid w:val="0068517E"/>
    <w:rsid w:val="006867CD"/>
    <w:rsid w:val="00686B88"/>
    <w:rsid w:val="00687CFA"/>
    <w:rsid w:val="006942DA"/>
    <w:rsid w:val="00695FC2"/>
    <w:rsid w:val="00696949"/>
    <w:rsid w:val="00697052"/>
    <w:rsid w:val="006A46FB"/>
    <w:rsid w:val="006A5E28"/>
    <w:rsid w:val="006A618C"/>
    <w:rsid w:val="006A6585"/>
    <w:rsid w:val="006A697B"/>
    <w:rsid w:val="006A7A70"/>
    <w:rsid w:val="006A7AFF"/>
    <w:rsid w:val="006B1816"/>
    <w:rsid w:val="006B2099"/>
    <w:rsid w:val="006B2209"/>
    <w:rsid w:val="006B50CF"/>
    <w:rsid w:val="006C03B8"/>
    <w:rsid w:val="006C5EC9"/>
    <w:rsid w:val="006C6059"/>
    <w:rsid w:val="006C7522"/>
    <w:rsid w:val="006D1BCE"/>
    <w:rsid w:val="006D6F08"/>
    <w:rsid w:val="006E062C"/>
    <w:rsid w:val="006E1514"/>
    <w:rsid w:val="006E2288"/>
    <w:rsid w:val="006E28B7"/>
    <w:rsid w:val="006E3310"/>
    <w:rsid w:val="006E4E39"/>
    <w:rsid w:val="006E565E"/>
    <w:rsid w:val="006E673D"/>
    <w:rsid w:val="006E6F50"/>
    <w:rsid w:val="006E7D3B"/>
    <w:rsid w:val="006F12FD"/>
    <w:rsid w:val="006F19AE"/>
    <w:rsid w:val="006F1B70"/>
    <w:rsid w:val="006F341D"/>
    <w:rsid w:val="006F3CDE"/>
    <w:rsid w:val="006F567B"/>
    <w:rsid w:val="006F58D4"/>
    <w:rsid w:val="00702465"/>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466"/>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A62DE"/>
    <w:rsid w:val="007B3D2D"/>
    <w:rsid w:val="007B50AE"/>
    <w:rsid w:val="007B51DF"/>
    <w:rsid w:val="007B5B0D"/>
    <w:rsid w:val="007B7374"/>
    <w:rsid w:val="007C05DD"/>
    <w:rsid w:val="007C3D18"/>
    <w:rsid w:val="007C60BF"/>
    <w:rsid w:val="007C6A07"/>
    <w:rsid w:val="007C75A1"/>
    <w:rsid w:val="007C77A5"/>
    <w:rsid w:val="007D04E5"/>
    <w:rsid w:val="007D35CC"/>
    <w:rsid w:val="007D5901"/>
    <w:rsid w:val="007D7526"/>
    <w:rsid w:val="007E4610"/>
    <w:rsid w:val="007E4715"/>
    <w:rsid w:val="007E505B"/>
    <w:rsid w:val="007E7091"/>
    <w:rsid w:val="007F2F74"/>
    <w:rsid w:val="007F75D5"/>
    <w:rsid w:val="00803FAE"/>
    <w:rsid w:val="0080605F"/>
    <w:rsid w:val="00806D06"/>
    <w:rsid w:val="00806EE7"/>
    <w:rsid w:val="00807786"/>
    <w:rsid w:val="00811FCB"/>
    <w:rsid w:val="008158D6"/>
    <w:rsid w:val="00817196"/>
    <w:rsid w:val="008235DB"/>
    <w:rsid w:val="00824AB4"/>
    <w:rsid w:val="00825C42"/>
    <w:rsid w:val="00825D25"/>
    <w:rsid w:val="00827D6F"/>
    <w:rsid w:val="00830E92"/>
    <w:rsid w:val="008376AC"/>
    <w:rsid w:val="0084020E"/>
    <w:rsid w:val="008444E8"/>
    <w:rsid w:val="00844E80"/>
    <w:rsid w:val="00846FE7"/>
    <w:rsid w:val="00851D4D"/>
    <w:rsid w:val="00852A79"/>
    <w:rsid w:val="00856911"/>
    <w:rsid w:val="008677FD"/>
    <w:rsid w:val="008706D4"/>
    <w:rsid w:val="00870F8A"/>
    <w:rsid w:val="008719A4"/>
    <w:rsid w:val="00871D23"/>
    <w:rsid w:val="00874312"/>
    <w:rsid w:val="0087437C"/>
    <w:rsid w:val="00875CD7"/>
    <w:rsid w:val="00876B4D"/>
    <w:rsid w:val="00877F18"/>
    <w:rsid w:val="00892090"/>
    <w:rsid w:val="00894A88"/>
    <w:rsid w:val="00895386"/>
    <w:rsid w:val="008A21FF"/>
    <w:rsid w:val="008A2CE2"/>
    <w:rsid w:val="008A30AC"/>
    <w:rsid w:val="008A44B8"/>
    <w:rsid w:val="008A5147"/>
    <w:rsid w:val="008A51A8"/>
    <w:rsid w:val="008A54C7"/>
    <w:rsid w:val="008A5C9A"/>
    <w:rsid w:val="008A77D8"/>
    <w:rsid w:val="008B0483"/>
    <w:rsid w:val="008B120C"/>
    <w:rsid w:val="008B51A0"/>
    <w:rsid w:val="008B592A"/>
    <w:rsid w:val="008B6903"/>
    <w:rsid w:val="008B7B5C"/>
    <w:rsid w:val="008C0C99"/>
    <w:rsid w:val="008C2017"/>
    <w:rsid w:val="008C4958"/>
    <w:rsid w:val="008C4BAA"/>
    <w:rsid w:val="008C6AE8"/>
    <w:rsid w:val="008C7573"/>
    <w:rsid w:val="008D2EDD"/>
    <w:rsid w:val="008D34F1"/>
    <w:rsid w:val="008D39D8"/>
    <w:rsid w:val="008D6D1A"/>
    <w:rsid w:val="008E0639"/>
    <w:rsid w:val="008E065E"/>
    <w:rsid w:val="008E0927"/>
    <w:rsid w:val="008E1909"/>
    <w:rsid w:val="008F1EAB"/>
    <w:rsid w:val="008F33DC"/>
    <w:rsid w:val="008F477F"/>
    <w:rsid w:val="00902350"/>
    <w:rsid w:val="0090336B"/>
    <w:rsid w:val="0090428F"/>
    <w:rsid w:val="009053AA"/>
    <w:rsid w:val="00906939"/>
    <w:rsid w:val="00910B7D"/>
    <w:rsid w:val="00911DFB"/>
    <w:rsid w:val="009139D9"/>
    <w:rsid w:val="00914AD8"/>
    <w:rsid w:val="00916079"/>
    <w:rsid w:val="00917CE9"/>
    <w:rsid w:val="00920BF2"/>
    <w:rsid w:val="00922010"/>
    <w:rsid w:val="00931BD9"/>
    <w:rsid w:val="00935739"/>
    <w:rsid w:val="00935A29"/>
    <w:rsid w:val="009368F3"/>
    <w:rsid w:val="00941636"/>
    <w:rsid w:val="00943742"/>
    <w:rsid w:val="00945C05"/>
    <w:rsid w:val="00945DBB"/>
    <w:rsid w:val="00946945"/>
    <w:rsid w:val="00947713"/>
    <w:rsid w:val="00950DE7"/>
    <w:rsid w:val="00952A24"/>
    <w:rsid w:val="00953920"/>
    <w:rsid w:val="00953D47"/>
    <w:rsid w:val="00953DBB"/>
    <w:rsid w:val="00954EC1"/>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340"/>
    <w:rsid w:val="009B1F30"/>
    <w:rsid w:val="009B3AC2"/>
    <w:rsid w:val="009B4DF4"/>
    <w:rsid w:val="009B564E"/>
    <w:rsid w:val="009B7E87"/>
    <w:rsid w:val="009C2AD2"/>
    <w:rsid w:val="009C403E"/>
    <w:rsid w:val="009C6832"/>
    <w:rsid w:val="009D4FF0"/>
    <w:rsid w:val="009D703C"/>
    <w:rsid w:val="009D718F"/>
    <w:rsid w:val="009E068F"/>
    <w:rsid w:val="009E1087"/>
    <w:rsid w:val="009E14E0"/>
    <w:rsid w:val="009E35DB"/>
    <w:rsid w:val="009E47A3"/>
    <w:rsid w:val="009F08F3"/>
    <w:rsid w:val="009F23FB"/>
    <w:rsid w:val="009F344F"/>
    <w:rsid w:val="00A031D8"/>
    <w:rsid w:val="00A03211"/>
    <w:rsid w:val="00A048A8"/>
    <w:rsid w:val="00A04F49"/>
    <w:rsid w:val="00A13E54"/>
    <w:rsid w:val="00A15745"/>
    <w:rsid w:val="00A15BC9"/>
    <w:rsid w:val="00A17F63"/>
    <w:rsid w:val="00A2004D"/>
    <w:rsid w:val="00A2193B"/>
    <w:rsid w:val="00A2351A"/>
    <w:rsid w:val="00A264A9"/>
    <w:rsid w:val="00A27785"/>
    <w:rsid w:val="00A30187"/>
    <w:rsid w:val="00A3448A"/>
    <w:rsid w:val="00A36297"/>
    <w:rsid w:val="00A40DF0"/>
    <w:rsid w:val="00A41E2B"/>
    <w:rsid w:val="00A45B74"/>
    <w:rsid w:val="00A52E1D"/>
    <w:rsid w:val="00A612CF"/>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97288"/>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2DAD"/>
    <w:rsid w:val="00AD383D"/>
    <w:rsid w:val="00AD3F94"/>
    <w:rsid w:val="00AD4A5A"/>
    <w:rsid w:val="00AE27AC"/>
    <w:rsid w:val="00AE2C74"/>
    <w:rsid w:val="00AE2FEB"/>
    <w:rsid w:val="00AE40E0"/>
    <w:rsid w:val="00AE4B61"/>
    <w:rsid w:val="00AE4DBA"/>
    <w:rsid w:val="00AE4F07"/>
    <w:rsid w:val="00AE66D3"/>
    <w:rsid w:val="00AF0198"/>
    <w:rsid w:val="00AF1C5D"/>
    <w:rsid w:val="00AF42D7"/>
    <w:rsid w:val="00B006FE"/>
    <w:rsid w:val="00B007CB"/>
    <w:rsid w:val="00B02AA9"/>
    <w:rsid w:val="00B02FA3"/>
    <w:rsid w:val="00B03374"/>
    <w:rsid w:val="00B05084"/>
    <w:rsid w:val="00B1415F"/>
    <w:rsid w:val="00B157F9"/>
    <w:rsid w:val="00B20256"/>
    <w:rsid w:val="00B20D09"/>
    <w:rsid w:val="00B22552"/>
    <w:rsid w:val="00B2442C"/>
    <w:rsid w:val="00B2763F"/>
    <w:rsid w:val="00B27AAC"/>
    <w:rsid w:val="00B30929"/>
    <w:rsid w:val="00B372AA"/>
    <w:rsid w:val="00B40445"/>
    <w:rsid w:val="00B41888"/>
    <w:rsid w:val="00B45A52"/>
    <w:rsid w:val="00B46175"/>
    <w:rsid w:val="00B664C7"/>
    <w:rsid w:val="00B739F6"/>
    <w:rsid w:val="00B75A51"/>
    <w:rsid w:val="00B81A6C"/>
    <w:rsid w:val="00B8254B"/>
    <w:rsid w:val="00B85DE5"/>
    <w:rsid w:val="00B906F7"/>
    <w:rsid w:val="00B90F73"/>
    <w:rsid w:val="00B91545"/>
    <w:rsid w:val="00B93B59"/>
    <w:rsid w:val="00B9406A"/>
    <w:rsid w:val="00BA1030"/>
    <w:rsid w:val="00BA2280"/>
    <w:rsid w:val="00BA2A08"/>
    <w:rsid w:val="00BA56D2"/>
    <w:rsid w:val="00BA76E0"/>
    <w:rsid w:val="00BB2A25"/>
    <w:rsid w:val="00BB51E9"/>
    <w:rsid w:val="00BB7DBF"/>
    <w:rsid w:val="00BC0FDC"/>
    <w:rsid w:val="00BC3053"/>
    <w:rsid w:val="00BC4D2E"/>
    <w:rsid w:val="00BD48AC"/>
    <w:rsid w:val="00BD5F1A"/>
    <w:rsid w:val="00BE1234"/>
    <w:rsid w:val="00BE2FA6"/>
    <w:rsid w:val="00BE333F"/>
    <w:rsid w:val="00BE7406"/>
    <w:rsid w:val="00BE7603"/>
    <w:rsid w:val="00BF3279"/>
    <w:rsid w:val="00BF617B"/>
    <w:rsid w:val="00BF74C7"/>
    <w:rsid w:val="00BF7642"/>
    <w:rsid w:val="00C015F1"/>
    <w:rsid w:val="00C01F33"/>
    <w:rsid w:val="00C02A4C"/>
    <w:rsid w:val="00C02CC6"/>
    <w:rsid w:val="00C040F7"/>
    <w:rsid w:val="00C044AB"/>
    <w:rsid w:val="00C046C0"/>
    <w:rsid w:val="00C05706"/>
    <w:rsid w:val="00C07377"/>
    <w:rsid w:val="00C10478"/>
    <w:rsid w:val="00C12107"/>
    <w:rsid w:val="00C14D4B"/>
    <w:rsid w:val="00C154BB"/>
    <w:rsid w:val="00C16FE9"/>
    <w:rsid w:val="00C26A86"/>
    <w:rsid w:val="00C279B5"/>
    <w:rsid w:val="00C27C45"/>
    <w:rsid w:val="00C3719D"/>
    <w:rsid w:val="00C46723"/>
    <w:rsid w:val="00C54995"/>
    <w:rsid w:val="00C54D41"/>
    <w:rsid w:val="00C576F7"/>
    <w:rsid w:val="00C60783"/>
    <w:rsid w:val="00C632A8"/>
    <w:rsid w:val="00C64672"/>
    <w:rsid w:val="00C70697"/>
    <w:rsid w:val="00C71656"/>
    <w:rsid w:val="00C72EF4"/>
    <w:rsid w:val="00C7505C"/>
    <w:rsid w:val="00C75D2F"/>
    <w:rsid w:val="00C767BE"/>
    <w:rsid w:val="00C76E3C"/>
    <w:rsid w:val="00C779B5"/>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D3F83"/>
    <w:rsid w:val="00CE0424"/>
    <w:rsid w:val="00CE7561"/>
    <w:rsid w:val="00CF1354"/>
    <w:rsid w:val="00CF1BF0"/>
    <w:rsid w:val="00CF226D"/>
    <w:rsid w:val="00CF3B1F"/>
    <w:rsid w:val="00CF3BF6"/>
    <w:rsid w:val="00CF625B"/>
    <w:rsid w:val="00CF687E"/>
    <w:rsid w:val="00CF7265"/>
    <w:rsid w:val="00D0349B"/>
    <w:rsid w:val="00D054D8"/>
    <w:rsid w:val="00D10249"/>
    <w:rsid w:val="00D10669"/>
    <w:rsid w:val="00D115C3"/>
    <w:rsid w:val="00D11897"/>
    <w:rsid w:val="00D13135"/>
    <w:rsid w:val="00D13E4E"/>
    <w:rsid w:val="00D22F07"/>
    <w:rsid w:val="00D239A7"/>
    <w:rsid w:val="00D23F47"/>
    <w:rsid w:val="00D27B14"/>
    <w:rsid w:val="00D36E71"/>
    <w:rsid w:val="00D37D87"/>
    <w:rsid w:val="00D40B33"/>
    <w:rsid w:val="00D4318F"/>
    <w:rsid w:val="00D438BF"/>
    <w:rsid w:val="00D440F8"/>
    <w:rsid w:val="00D447E4"/>
    <w:rsid w:val="00D51369"/>
    <w:rsid w:val="00D546FF"/>
    <w:rsid w:val="00D55AD5"/>
    <w:rsid w:val="00D576CA"/>
    <w:rsid w:val="00D61AF5"/>
    <w:rsid w:val="00D652B5"/>
    <w:rsid w:val="00D66155"/>
    <w:rsid w:val="00D708B0"/>
    <w:rsid w:val="00D70B10"/>
    <w:rsid w:val="00D77B1D"/>
    <w:rsid w:val="00D8021F"/>
    <w:rsid w:val="00D80383"/>
    <w:rsid w:val="00D823C6"/>
    <w:rsid w:val="00D84C94"/>
    <w:rsid w:val="00D86CA3"/>
    <w:rsid w:val="00D871CE"/>
    <w:rsid w:val="00D9196D"/>
    <w:rsid w:val="00D92982"/>
    <w:rsid w:val="00D97202"/>
    <w:rsid w:val="00DA305E"/>
    <w:rsid w:val="00DA5417"/>
    <w:rsid w:val="00DA56E8"/>
    <w:rsid w:val="00DB0A9F"/>
    <w:rsid w:val="00DB2A58"/>
    <w:rsid w:val="00DB377D"/>
    <w:rsid w:val="00DB5D6F"/>
    <w:rsid w:val="00DB7921"/>
    <w:rsid w:val="00DC2639"/>
    <w:rsid w:val="00DC29BC"/>
    <w:rsid w:val="00DC2D36"/>
    <w:rsid w:val="00DC53EF"/>
    <w:rsid w:val="00DC636C"/>
    <w:rsid w:val="00DD6875"/>
    <w:rsid w:val="00DE5608"/>
    <w:rsid w:val="00DE58D0"/>
    <w:rsid w:val="00DE654F"/>
    <w:rsid w:val="00DF0B6E"/>
    <w:rsid w:val="00DF15E0"/>
    <w:rsid w:val="00DF37A0"/>
    <w:rsid w:val="00E110E7"/>
    <w:rsid w:val="00E11B20"/>
    <w:rsid w:val="00E17FA2"/>
    <w:rsid w:val="00E22330"/>
    <w:rsid w:val="00E23DFB"/>
    <w:rsid w:val="00E30B5A"/>
    <w:rsid w:val="00E3123D"/>
    <w:rsid w:val="00E31461"/>
    <w:rsid w:val="00E31D43"/>
    <w:rsid w:val="00E32608"/>
    <w:rsid w:val="00E34188"/>
    <w:rsid w:val="00E34B6E"/>
    <w:rsid w:val="00E35559"/>
    <w:rsid w:val="00E3723A"/>
    <w:rsid w:val="00E37860"/>
    <w:rsid w:val="00E446F1"/>
    <w:rsid w:val="00E44EAD"/>
    <w:rsid w:val="00E46886"/>
    <w:rsid w:val="00E47AEF"/>
    <w:rsid w:val="00E53998"/>
    <w:rsid w:val="00E53B75"/>
    <w:rsid w:val="00E54E3B"/>
    <w:rsid w:val="00E5689D"/>
    <w:rsid w:val="00E57565"/>
    <w:rsid w:val="00E63838"/>
    <w:rsid w:val="00E63AA1"/>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D2215"/>
    <w:rsid w:val="00ED6DD9"/>
    <w:rsid w:val="00ED7EFC"/>
    <w:rsid w:val="00EE59C8"/>
    <w:rsid w:val="00EF18FE"/>
    <w:rsid w:val="00EF5787"/>
    <w:rsid w:val="00EF60D0"/>
    <w:rsid w:val="00F044A4"/>
    <w:rsid w:val="00F0528D"/>
    <w:rsid w:val="00F06C67"/>
    <w:rsid w:val="00F06DFD"/>
    <w:rsid w:val="00F071D1"/>
    <w:rsid w:val="00F07533"/>
    <w:rsid w:val="00F10629"/>
    <w:rsid w:val="00F15FA5"/>
    <w:rsid w:val="00F209B7"/>
    <w:rsid w:val="00F2376F"/>
    <w:rsid w:val="00F243D8"/>
    <w:rsid w:val="00F27975"/>
    <w:rsid w:val="00F30828"/>
    <w:rsid w:val="00F313D6"/>
    <w:rsid w:val="00F40F0C"/>
    <w:rsid w:val="00F4766C"/>
    <w:rsid w:val="00F5060E"/>
    <w:rsid w:val="00F507D1"/>
    <w:rsid w:val="00F519CE"/>
    <w:rsid w:val="00F51ADA"/>
    <w:rsid w:val="00F53026"/>
    <w:rsid w:val="00F607C5"/>
    <w:rsid w:val="00F60DEA"/>
    <w:rsid w:val="00F6302A"/>
    <w:rsid w:val="00F6408B"/>
    <w:rsid w:val="00F64C2B"/>
    <w:rsid w:val="00F651BE"/>
    <w:rsid w:val="00F67F53"/>
    <w:rsid w:val="00F703BE"/>
    <w:rsid w:val="00F71F69"/>
    <w:rsid w:val="00F72B72"/>
    <w:rsid w:val="00F74BB9"/>
    <w:rsid w:val="00F75582"/>
    <w:rsid w:val="00F76EFA"/>
    <w:rsid w:val="00F804BE"/>
    <w:rsid w:val="00F817CE"/>
    <w:rsid w:val="00F82B5F"/>
    <w:rsid w:val="00F8456C"/>
    <w:rsid w:val="00F859D8"/>
    <w:rsid w:val="00F868F5"/>
    <w:rsid w:val="00F8701D"/>
    <w:rsid w:val="00F9056A"/>
    <w:rsid w:val="00F90F8D"/>
    <w:rsid w:val="00F92782"/>
    <w:rsid w:val="00F93AA9"/>
    <w:rsid w:val="00F96985"/>
    <w:rsid w:val="00F97838"/>
    <w:rsid w:val="00FA2BB3"/>
    <w:rsid w:val="00FB3A7E"/>
    <w:rsid w:val="00FB4417"/>
    <w:rsid w:val="00FB4C80"/>
    <w:rsid w:val="00FB6A6A"/>
    <w:rsid w:val="00FC1BE6"/>
    <w:rsid w:val="00FC7429"/>
    <w:rsid w:val="00FD07F6"/>
    <w:rsid w:val="00FD1EC8"/>
    <w:rsid w:val="00FD47ED"/>
    <w:rsid w:val="00FD74DB"/>
    <w:rsid w:val="00FD7660"/>
    <w:rsid w:val="00FE0655"/>
    <w:rsid w:val="00FE2365"/>
    <w:rsid w:val="00FE37D7"/>
    <w:rsid w:val="00FE4C7B"/>
    <w:rsid w:val="00FE6511"/>
    <w:rsid w:val="00FE7336"/>
    <w:rsid w:val="00FE787C"/>
    <w:rsid w:val="00FF032C"/>
    <w:rsid w:val="00FF45A5"/>
    <w:rsid w:val="00FF5C91"/>
    <w:rsid w:val="00FF6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5F5A"/>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025F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25F5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25F5A"/>
    <w:pPr>
      <w:numPr>
        <w:ilvl w:val="2"/>
      </w:numPr>
      <w:spacing w:before="120"/>
      <w:outlineLvl w:val="2"/>
    </w:pPr>
    <w:rPr>
      <w:sz w:val="24"/>
      <w:szCs w:val="28"/>
    </w:rPr>
  </w:style>
  <w:style w:type="paragraph" w:styleId="Heading4">
    <w:name w:val="heading 4"/>
    <w:basedOn w:val="Heading3"/>
    <w:next w:val="Normal"/>
    <w:qFormat/>
    <w:rsid w:val="00025F5A"/>
    <w:pPr>
      <w:numPr>
        <w:ilvl w:val="3"/>
      </w:numPr>
      <w:outlineLvl w:val="3"/>
    </w:pPr>
    <w:rPr>
      <w:szCs w:val="24"/>
    </w:rPr>
  </w:style>
  <w:style w:type="paragraph" w:styleId="Heading5">
    <w:name w:val="heading 5"/>
    <w:basedOn w:val="Heading4"/>
    <w:next w:val="Normal"/>
    <w:qFormat/>
    <w:rsid w:val="00025F5A"/>
    <w:pPr>
      <w:numPr>
        <w:ilvl w:val="4"/>
      </w:numPr>
      <w:outlineLvl w:val="4"/>
    </w:pPr>
    <w:rPr>
      <w:sz w:val="22"/>
      <w:szCs w:val="22"/>
    </w:rPr>
  </w:style>
  <w:style w:type="paragraph" w:styleId="Heading6">
    <w:name w:val="heading 6"/>
    <w:basedOn w:val="Normal"/>
    <w:next w:val="Normal"/>
    <w:qFormat/>
    <w:rsid w:val="00025F5A"/>
    <w:pPr>
      <w:keepNext/>
      <w:keepLines/>
      <w:numPr>
        <w:ilvl w:val="5"/>
        <w:numId w:val="1"/>
      </w:numPr>
      <w:spacing w:before="120"/>
      <w:outlineLvl w:val="5"/>
    </w:pPr>
    <w:rPr>
      <w:rFonts w:cs="Arial"/>
    </w:rPr>
  </w:style>
  <w:style w:type="paragraph" w:styleId="Heading7">
    <w:name w:val="heading 7"/>
    <w:basedOn w:val="Normal"/>
    <w:next w:val="Normal"/>
    <w:qFormat/>
    <w:rsid w:val="00025F5A"/>
    <w:pPr>
      <w:keepNext/>
      <w:keepLines/>
      <w:numPr>
        <w:ilvl w:val="6"/>
        <w:numId w:val="1"/>
      </w:numPr>
      <w:spacing w:before="120"/>
      <w:outlineLvl w:val="6"/>
    </w:pPr>
    <w:rPr>
      <w:rFonts w:cs="Arial"/>
    </w:rPr>
  </w:style>
  <w:style w:type="paragraph" w:styleId="Heading8">
    <w:name w:val="heading 8"/>
    <w:basedOn w:val="Heading7"/>
    <w:next w:val="Normal"/>
    <w:qFormat/>
    <w:rsid w:val="00025F5A"/>
    <w:pPr>
      <w:numPr>
        <w:ilvl w:val="7"/>
      </w:numPr>
      <w:outlineLvl w:val="7"/>
    </w:pPr>
  </w:style>
  <w:style w:type="paragraph" w:styleId="Heading9">
    <w:name w:val="heading 9"/>
    <w:basedOn w:val="Heading8"/>
    <w:next w:val="Normal"/>
    <w:qFormat/>
    <w:rsid w:val="00025F5A"/>
    <w:pPr>
      <w:numPr>
        <w:ilvl w:val="8"/>
      </w:numPr>
      <w:outlineLvl w:val="8"/>
    </w:pPr>
  </w:style>
  <w:style w:type="character" w:default="1" w:styleId="DefaultParagraphFont">
    <w:name w:val="Default Paragraph Font"/>
    <w:uiPriority w:val="1"/>
    <w:semiHidden/>
    <w:unhideWhenUsed/>
    <w:rsid w:val="00025F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5F5A"/>
  </w:style>
  <w:style w:type="paragraph" w:styleId="TOC8">
    <w:name w:val="toc 8"/>
    <w:basedOn w:val="TOC1"/>
    <w:semiHidden/>
    <w:rsid w:val="00025F5A"/>
    <w:pPr>
      <w:spacing w:before="180"/>
      <w:ind w:left="2693" w:hanging="2693"/>
    </w:pPr>
    <w:rPr>
      <w:b w:val="0"/>
      <w:bCs/>
    </w:rPr>
  </w:style>
  <w:style w:type="paragraph" w:styleId="TOC1">
    <w:name w:val="toc 1"/>
    <w:aliases w:val="Observation TOC2"/>
    <w:uiPriority w:val="39"/>
    <w:rsid w:val="00025F5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25F5A"/>
    <w:pPr>
      <w:keepNext/>
      <w:keepLines/>
      <w:spacing w:before="180"/>
      <w:jc w:val="center"/>
    </w:pPr>
  </w:style>
  <w:style w:type="paragraph" w:styleId="Caption">
    <w:name w:val="caption"/>
    <w:basedOn w:val="Normal"/>
    <w:next w:val="Normal"/>
    <w:qFormat/>
    <w:rsid w:val="00025F5A"/>
    <w:pPr>
      <w:spacing w:after="240"/>
      <w:jc w:val="center"/>
    </w:pPr>
    <w:rPr>
      <w:b/>
      <w:bCs/>
    </w:rPr>
  </w:style>
  <w:style w:type="paragraph" w:styleId="TOC5">
    <w:name w:val="toc 5"/>
    <w:aliases w:val="Observation TOC"/>
    <w:basedOn w:val="TOC4"/>
    <w:semiHidden/>
    <w:rsid w:val="00025F5A"/>
    <w:pPr>
      <w:tabs>
        <w:tab w:val="right" w:pos="1701"/>
      </w:tabs>
      <w:ind w:left="1701" w:hanging="1701"/>
    </w:pPr>
  </w:style>
  <w:style w:type="paragraph" w:styleId="TOC4">
    <w:name w:val="toc 4"/>
    <w:basedOn w:val="TOC3"/>
    <w:semiHidden/>
    <w:rsid w:val="00025F5A"/>
    <w:pPr>
      <w:ind w:left="1418" w:hanging="1418"/>
    </w:pPr>
  </w:style>
  <w:style w:type="paragraph" w:styleId="TOC3">
    <w:name w:val="toc 3"/>
    <w:basedOn w:val="TOC2"/>
    <w:semiHidden/>
    <w:rsid w:val="00025F5A"/>
    <w:pPr>
      <w:ind w:left="1134" w:hanging="1134"/>
    </w:pPr>
  </w:style>
  <w:style w:type="paragraph" w:styleId="TOC2">
    <w:name w:val="toc 2"/>
    <w:basedOn w:val="TOC1"/>
    <w:semiHidden/>
    <w:rsid w:val="00025F5A"/>
    <w:pPr>
      <w:keepNext w:val="0"/>
      <w:spacing w:before="0"/>
      <w:ind w:left="851" w:hanging="851"/>
    </w:pPr>
    <w:rPr>
      <w:szCs w:val="20"/>
    </w:rPr>
  </w:style>
  <w:style w:type="paragraph" w:styleId="Index2">
    <w:name w:val="index 2"/>
    <w:basedOn w:val="Index1"/>
    <w:semiHidden/>
    <w:rsid w:val="00025F5A"/>
    <w:pPr>
      <w:ind w:left="284"/>
    </w:pPr>
  </w:style>
  <w:style w:type="paragraph" w:styleId="Index1">
    <w:name w:val="index 1"/>
    <w:basedOn w:val="Normal"/>
    <w:semiHidden/>
    <w:rsid w:val="00025F5A"/>
    <w:pPr>
      <w:keepLines/>
      <w:spacing w:after="0"/>
    </w:pPr>
  </w:style>
  <w:style w:type="paragraph" w:styleId="DocumentMap">
    <w:name w:val="Document Map"/>
    <w:basedOn w:val="Normal"/>
    <w:semiHidden/>
    <w:rsid w:val="00025F5A"/>
    <w:pPr>
      <w:shd w:val="clear" w:color="auto" w:fill="000080"/>
    </w:pPr>
    <w:rPr>
      <w:rFonts w:ascii="Tahoma" w:hAnsi="Tahoma" w:cs="Tahoma"/>
    </w:rPr>
  </w:style>
  <w:style w:type="paragraph" w:styleId="ListNumber2">
    <w:name w:val="List Number 2"/>
    <w:basedOn w:val="ListNumber"/>
    <w:rsid w:val="00025F5A"/>
    <w:pPr>
      <w:ind w:left="851"/>
    </w:pPr>
  </w:style>
  <w:style w:type="paragraph" w:styleId="ListNumber">
    <w:name w:val="List Number"/>
    <w:basedOn w:val="List"/>
    <w:rsid w:val="00025F5A"/>
  </w:style>
  <w:style w:type="paragraph" w:styleId="List">
    <w:name w:val="List"/>
    <w:basedOn w:val="Normal"/>
    <w:rsid w:val="00025F5A"/>
    <w:pPr>
      <w:ind w:left="568" w:hanging="284"/>
    </w:pPr>
  </w:style>
  <w:style w:type="paragraph" w:styleId="Header">
    <w:name w:val="header"/>
    <w:rsid w:val="00025F5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25F5A"/>
    <w:rPr>
      <w:b/>
      <w:bCs/>
      <w:position w:val="6"/>
      <w:sz w:val="16"/>
      <w:szCs w:val="16"/>
    </w:rPr>
  </w:style>
  <w:style w:type="paragraph" w:styleId="FootnoteText">
    <w:name w:val="footnote text"/>
    <w:basedOn w:val="Normal"/>
    <w:semiHidden/>
    <w:rsid w:val="00025F5A"/>
    <w:pPr>
      <w:keepLines/>
      <w:spacing w:after="0"/>
      <w:ind w:left="454" w:hanging="454"/>
    </w:pPr>
    <w:rPr>
      <w:sz w:val="16"/>
      <w:szCs w:val="16"/>
    </w:rPr>
  </w:style>
  <w:style w:type="paragraph" w:customStyle="1" w:styleId="3GPPHeader">
    <w:name w:val="3GPP_Header"/>
    <w:basedOn w:val="Normal"/>
    <w:qFormat/>
    <w:rsid w:val="00025F5A"/>
    <w:pPr>
      <w:tabs>
        <w:tab w:val="left" w:pos="1800"/>
        <w:tab w:val="right" w:pos="9360"/>
      </w:tabs>
      <w:spacing w:after="0"/>
    </w:pPr>
    <w:rPr>
      <w:rFonts w:ascii="Arial" w:hAnsi="Arial"/>
      <w:b/>
    </w:rPr>
  </w:style>
  <w:style w:type="paragraph" w:styleId="TOC9">
    <w:name w:val="toc 9"/>
    <w:basedOn w:val="TOC8"/>
    <w:semiHidden/>
    <w:rsid w:val="00025F5A"/>
    <w:pPr>
      <w:ind w:left="1418" w:hanging="1418"/>
    </w:pPr>
  </w:style>
  <w:style w:type="paragraph" w:styleId="TOC6">
    <w:name w:val="toc 6"/>
    <w:basedOn w:val="TOC5"/>
    <w:next w:val="Normal"/>
    <w:semiHidden/>
    <w:rsid w:val="00025F5A"/>
    <w:pPr>
      <w:ind w:left="1985" w:hanging="1985"/>
    </w:pPr>
  </w:style>
  <w:style w:type="paragraph" w:styleId="TOC7">
    <w:name w:val="toc 7"/>
    <w:basedOn w:val="TOC6"/>
    <w:next w:val="Normal"/>
    <w:semiHidden/>
    <w:rsid w:val="00025F5A"/>
    <w:pPr>
      <w:ind w:left="2268" w:hanging="2268"/>
    </w:pPr>
  </w:style>
  <w:style w:type="paragraph" w:styleId="ListBullet2">
    <w:name w:val="List Bullet 2"/>
    <w:basedOn w:val="ListBullet"/>
    <w:rsid w:val="00025F5A"/>
    <w:pPr>
      <w:numPr>
        <w:numId w:val="6"/>
      </w:numPr>
    </w:pPr>
  </w:style>
  <w:style w:type="paragraph" w:styleId="ListBullet">
    <w:name w:val="List Bullet"/>
    <w:basedOn w:val="BodyText"/>
    <w:rsid w:val="00025F5A"/>
    <w:pPr>
      <w:numPr>
        <w:numId w:val="5"/>
      </w:numPr>
    </w:pPr>
  </w:style>
  <w:style w:type="paragraph" w:styleId="ListBullet3">
    <w:name w:val="List Bullet 3"/>
    <w:basedOn w:val="ListBullet2"/>
    <w:rsid w:val="00025F5A"/>
    <w:pPr>
      <w:numPr>
        <w:numId w:val="7"/>
      </w:numPr>
    </w:pPr>
  </w:style>
  <w:style w:type="paragraph" w:customStyle="1" w:styleId="EQ">
    <w:name w:val="EQ"/>
    <w:basedOn w:val="Normal"/>
    <w:next w:val="Normal"/>
    <w:rsid w:val="00025F5A"/>
    <w:pPr>
      <w:keepLines/>
      <w:tabs>
        <w:tab w:val="center" w:pos="4536"/>
        <w:tab w:val="right" w:pos="9072"/>
      </w:tabs>
      <w:spacing w:after="180"/>
      <w:jc w:val="left"/>
    </w:pPr>
    <w:rPr>
      <w:noProof/>
      <w:lang w:eastAsia="en-US"/>
    </w:rPr>
  </w:style>
  <w:style w:type="paragraph" w:styleId="List2">
    <w:name w:val="List 2"/>
    <w:basedOn w:val="List"/>
    <w:rsid w:val="00025F5A"/>
    <w:pPr>
      <w:ind w:left="851"/>
    </w:pPr>
  </w:style>
  <w:style w:type="paragraph" w:styleId="List3">
    <w:name w:val="List 3"/>
    <w:basedOn w:val="List2"/>
    <w:rsid w:val="00025F5A"/>
    <w:pPr>
      <w:ind w:left="1135"/>
    </w:pPr>
  </w:style>
  <w:style w:type="paragraph" w:styleId="List4">
    <w:name w:val="List 4"/>
    <w:basedOn w:val="List3"/>
    <w:rsid w:val="00025F5A"/>
    <w:pPr>
      <w:ind w:left="1418"/>
    </w:pPr>
  </w:style>
  <w:style w:type="paragraph" w:styleId="List5">
    <w:name w:val="List 5"/>
    <w:basedOn w:val="List4"/>
    <w:rsid w:val="00025F5A"/>
    <w:pPr>
      <w:ind w:left="1702"/>
    </w:pPr>
  </w:style>
  <w:style w:type="paragraph" w:customStyle="1" w:styleId="EditorsNote">
    <w:name w:val="Editor's Note"/>
    <w:basedOn w:val="Normal"/>
    <w:rsid w:val="00025F5A"/>
    <w:pPr>
      <w:keepLines/>
      <w:spacing w:after="180"/>
      <w:ind w:left="1135" w:hanging="851"/>
      <w:jc w:val="left"/>
    </w:pPr>
    <w:rPr>
      <w:color w:val="FF0000"/>
      <w:lang w:eastAsia="en-US"/>
    </w:rPr>
  </w:style>
  <w:style w:type="paragraph" w:styleId="ListBullet4">
    <w:name w:val="List Bullet 4"/>
    <w:basedOn w:val="ListBullet3"/>
    <w:rsid w:val="00025F5A"/>
    <w:pPr>
      <w:numPr>
        <w:numId w:val="8"/>
      </w:numPr>
    </w:pPr>
  </w:style>
  <w:style w:type="paragraph" w:styleId="ListBullet5">
    <w:name w:val="List Bullet 5"/>
    <w:basedOn w:val="ListBullet4"/>
    <w:rsid w:val="00025F5A"/>
    <w:pPr>
      <w:numPr>
        <w:numId w:val="4"/>
      </w:numPr>
    </w:pPr>
  </w:style>
  <w:style w:type="paragraph" w:styleId="Footer">
    <w:name w:val="footer"/>
    <w:basedOn w:val="Header"/>
    <w:semiHidden/>
    <w:rsid w:val="00025F5A"/>
    <w:pPr>
      <w:jc w:val="center"/>
    </w:pPr>
    <w:rPr>
      <w:i/>
      <w:iCs/>
    </w:rPr>
  </w:style>
  <w:style w:type="paragraph" w:customStyle="1" w:styleId="Reference">
    <w:name w:val="Reference"/>
    <w:basedOn w:val="Normal"/>
    <w:qFormat/>
    <w:rsid w:val="00025F5A"/>
    <w:pPr>
      <w:numPr>
        <w:numId w:val="2"/>
      </w:numPr>
    </w:pPr>
  </w:style>
  <w:style w:type="paragraph" w:styleId="BalloonText">
    <w:name w:val="Balloon Text"/>
    <w:basedOn w:val="Normal"/>
    <w:semiHidden/>
    <w:rsid w:val="00025F5A"/>
    <w:rPr>
      <w:rFonts w:ascii="Tahoma" w:hAnsi="Tahoma" w:cs="Tahoma"/>
      <w:sz w:val="16"/>
      <w:szCs w:val="16"/>
    </w:rPr>
  </w:style>
  <w:style w:type="character" w:styleId="PageNumber">
    <w:name w:val="page number"/>
    <w:basedOn w:val="DefaultParagraphFont"/>
    <w:semiHidden/>
    <w:rsid w:val="00025F5A"/>
  </w:style>
  <w:style w:type="paragraph" w:styleId="BodyText">
    <w:name w:val="Body Text"/>
    <w:basedOn w:val="Normal"/>
    <w:link w:val="BodyTextChar"/>
    <w:qFormat/>
    <w:rsid w:val="00025F5A"/>
  </w:style>
  <w:style w:type="character" w:styleId="Hyperlink">
    <w:name w:val="Hyperlink"/>
    <w:uiPriority w:val="99"/>
    <w:rsid w:val="00025F5A"/>
    <w:rPr>
      <w:color w:val="0000FF"/>
      <w:u w:val="single"/>
      <w:lang w:val="en-GB"/>
    </w:rPr>
  </w:style>
  <w:style w:type="character" w:styleId="FollowedHyperlink">
    <w:name w:val="FollowedHyperlink"/>
    <w:semiHidden/>
    <w:rsid w:val="00025F5A"/>
    <w:rPr>
      <w:color w:val="FF0000"/>
      <w:u w:val="single"/>
    </w:rPr>
  </w:style>
  <w:style w:type="character" w:styleId="CommentReference">
    <w:name w:val="annotation reference"/>
    <w:semiHidden/>
    <w:rsid w:val="00025F5A"/>
    <w:rPr>
      <w:sz w:val="16"/>
      <w:szCs w:val="16"/>
    </w:rPr>
  </w:style>
  <w:style w:type="paragraph" w:styleId="CommentText">
    <w:name w:val="annotation text"/>
    <w:basedOn w:val="Normal"/>
    <w:link w:val="CommentTextChar"/>
    <w:rsid w:val="00025F5A"/>
  </w:style>
  <w:style w:type="paragraph" w:styleId="CommentSubject">
    <w:name w:val="annotation subject"/>
    <w:basedOn w:val="CommentText"/>
    <w:next w:val="CommentText"/>
    <w:semiHidden/>
    <w:rsid w:val="00025F5A"/>
    <w:rPr>
      <w:b/>
      <w:bCs/>
    </w:rPr>
  </w:style>
  <w:style w:type="character" w:customStyle="1" w:styleId="Heading1Char">
    <w:name w:val="Heading 1 Char"/>
    <w:link w:val="Heading1"/>
    <w:rsid w:val="00025F5A"/>
    <w:rPr>
      <w:rFonts w:ascii="Arial" w:hAnsi="Arial" w:cs="Arial"/>
      <w:sz w:val="32"/>
      <w:szCs w:val="36"/>
      <w:lang w:val="en-GB" w:eastAsia="zh-CN"/>
    </w:rPr>
  </w:style>
  <w:style w:type="paragraph" w:customStyle="1" w:styleId="B1">
    <w:name w:val="B1"/>
    <w:basedOn w:val="List"/>
    <w:rsid w:val="00025F5A"/>
    <w:pPr>
      <w:spacing w:after="180"/>
      <w:jc w:val="left"/>
    </w:pPr>
    <w:rPr>
      <w:lang w:eastAsia="en-US"/>
    </w:rPr>
  </w:style>
  <w:style w:type="paragraph" w:customStyle="1" w:styleId="B2">
    <w:name w:val="B2"/>
    <w:basedOn w:val="List2"/>
    <w:rsid w:val="00025F5A"/>
    <w:pPr>
      <w:spacing w:after="180"/>
      <w:jc w:val="left"/>
    </w:pPr>
    <w:rPr>
      <w:lang w:eastAsia="en-US"/>
    </w:rPr>
  </w:style>
  <w:style w:type="paragraph" w:customStyle="1" w:styleId="B3">
    <w:name w:val="B3"/>
    <w:basedOn w:val="List3"/>
    <w:rsid w:val="00025F5A"/>
    <w:pPr>
      <w:spacing w:after="180"/>
      <w:jc w:val="left"/>
    </w:pPr>
    <w:rPr>
      <w:lang w:eastAsia="en-US"/>
    </w:rPr>
  </w:style>
  <w:style w:type="paragraph" w:customStyle="1" w:styleId="B4">
    <w:name w:val="B4"/>
    <w:basedOn w:val="List4"/>
    <w:rsid w:val="00025F5A"/>
    <w:pPr>
      <w:spacing w:after="180"/>
      <w:jc w:val="left"/>
    </w:pPr>
    <w:rPr>
      <w:lang w:eastAsia="en-US"/>
    </w:rPr>
  </w:style>
  <w:style w:type="paragraph" w:customStyle="1" w:styleId="Proposal">
    <w:name w:val="Proposal"/>
    <w:basedOn w:val="Normal"/>
    <w:qFormat/>
    <w:rsid w:val="00025F5A"/>
    <w:pPr>
      <w:numPr>
        <w:numId w:val="3"/>
      </w:numPr>
      <w:tabs>
        <w:tab w:val="clear" w:pos="1304"/>
        <w:tab w:val="left" w:pos="1701"/>
      </w:tabs>
      <w:ind w:left="1701" w:hanging="1701"/>
    </w:pPr>
    <w:rPr>
      <w:b/>
      <w:bCs/>
    </w:rPr>
  </w:style>
  <w:style w:type="character" w:customStyle="1" w:styleId="BodyTextChar">
    <w:name w:val="Body Text Char"/>
    <w:link w:val="BodyText"/>
    <w:rsid w:val="00025F5A"/>
    <w:rPr>
      <w:rFonts w:ascii="Times New Roman" w:hAnsi="Times New Roman"/>
      <w:lang w:val="en-GB" w:eastAsia="zh-CN"/>
    </w:rPr>
  </w:style>
  <w:style w:type="paragraph" w:customStyle="1" w:styleId="B5">
    <w:name w:val="B5"/>
    <w:basedOn w:val="List5"/>
    <w:rsid w:val="00025F5A"/>
    <w:pPr>
      <w:spacing w:after="180"/>
      <w:jc w:val="left"/>
    </w:pPr>
    <w:rPr>
      <w:lang w:eastAsia="en-US"/>
    </w:rPr>
  </w:style>
  <w:style w:type="paragraph" w:customStyle="1" w:styleId="EX">
    <w:name w:val="EX"/>
    <w:basedOn w:val="Normal"/>
    <w:rsid w:val="00025F5A"/>
    <w:pPr>
      <w:keepLines/>
      <w:spacing w:after="180"/>
      <w:ind w:left="1702" w:hanging="1418"/>
      <w:jc w:val="left"/>
    </w:pPr>
    <w:rPr>
      <w:lang w:eastAsia="en-US"/>
    </w:rPr>
  </w:style>
  <w:style w:type="paragraph" w:customStyle="1" w:styleId="EW">
    <w:name w:val="EW"/>
    <w:basedOn w:val="EX"/>
    <w:rsid w:val="00025F5A"/>
    <w:pPr>
      <w:spacing w:after="0"/>
    </w:pPr>
  </w:style>
  <w:style w:type="paragraph" w:customStyle="1" w:styleId="TAL">
    <w:name w:val="TAL"/>
    <w:basedOn w:val="Normal"/>
    <w:rsid w:val="00025F5A"/>
    <w:pPr>
      <w:keepNext/>
      <w:keepLines/>
      <w:spacing w:after="0"/>
      <w:jc w:val="left"/>
    </w:pPr>
    <w:rPr>
      <w:sz w:val="18"/>
      <w:lang w:eastAsia="en-US"/>
    </w:rPr>
  </w:style>
  <w:style w:type="paragraph" w:customStyle="1" w:styleId="TAC">
    <w:name w:val="TAC"/>
    <w:basedOn w:val="TAL"/>
    <w:rsid w:val="00025F5A"/>
    <w:pPr>
      <w:jc w:val="center"/>
    </w:pPr>
  </w:style>
  <w:style w:type="paragraph" w:customStyle="1" w:styleId="TAH">
    <w:name w:val="TAH"/>
    <w:basedOn w:val="TAC"/>
    <w:rsid w:val="00025F5A"/>
    <w:rPr>
      <w:b/>
    </w:rPr>
  </w:style>
  <w:style w:type="paragraph" w:customStyle="1" w:styleId="TAN">
    <w:name w:val="TAN"/>
    <w:basedOn w:val="TAL"/>
    <w:rsid w:val="00025F5A"/>
    <w:pPr>
      <w:ind w:left="851" w:hanging="851"/>
    </w:pPr>
  </w:style>
  <w:style w:type="paragraph" w:customStyle="1" w:styleId="TAR">
    <w:name w:val="TAR"/>
    <w:basedOn w:val="TAL"/>
    <w:rsid w:val="00025F5A"/>
    <w:pPr>
      <w:jc w:val="right"/>
    </w:pPr>
  </w:style>
  <w:style w:type="paragraph" w:customStyle="1" w:styleId="TH">
    <w:name w:val="TH"/>
    <w:basedOn w:val="Normal"/>
    <w:rsid w:val="00025F5A"/>
    <w:pPr>
      <w:keepNext/>
      <w:keepLines/>
      <w:spacing w:before="60" w:after="180"/>
      <w:jc w:val="center"/>
    </w:pPr>
    <w:rPr>
      <w:b/>
      <w:lang w:eastAsia="en-US"/>
    </w:rPr>
  </w:style>
  <w:style w:type="paragraph" w:customStyle="1" w:styleId="TF">
    <w:name w:val="TF"/>
    <w:basedOn w:val="TH"/>
    <w:rsid w:val="00025F5A"/>
    <w:pPr>
      <w:keepNext w:val="0"/>
      <w:spacing w:before="0" w:after="240"/>
    </w:pPr>
  </w:style>
  <w:style w:type="paragraph" w:customStyle="1" w:styleId="TT">
    <w:name w:val="TT"/>
    <w:basedOn w:val="Heading1"/>
    <w:next w:val="Normal"/>
    <w:rsid w:val="00025F5A"/>
    <w:pPr>
      <w:numPr>
        <w:numId w:val="0"/>
      </w:numPr>
      <w:ind w:left="1134" w:hanging="1134"/>
      <w:outlineLvl w:val="9"/>
    </w:pPr>
    <w:rPr>
      <w:rFonts w:cs="Times New Roman"/>
      <w:szCs w:val="20"/>
      <w:lang w:eastAsia="en-US"/>
    </w:rPr>
  </w:style>
  <w:style w:type="paragraph" w:customStyle="1" w:styleId="ZA">
    <w:name w:val="ZA"/>
    <w:rsid w:val="00025F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25F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25F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25F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25F5A"/>
  </w:style>
  <w:style w:type="paragraph" w:customStyle="1" w:styleId="ZH">
    <w:name w:val="ZH"/>
    <w:rsid w:val="00025F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25F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25F5A"/>
    <w:pPr>
      <w:framePr w:hRule="auto" w:wrap="notBeside" w:y="852"/>
    </w:pPr>
    <w:rPr>
      <w:i w:val="0"/>
      <w:sz w:val="40"/>
    </w:rPr>
  </w:style>
  <w:style w:type="paragraph" w:customStyle="1" w:styleId="ZU">
    <w:name w:val="ZU"/>
    <w:rsid w:val="00025F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25F5A"/>
    <w:pPr>
      <w:framePr w:wrap="notBeside" w:y="16161"/>
    </w:pPr>
  </w:style>
  <w:style w:type="paragraph" w:customStyle="1" w:styleId="FP">
    <w:name w:val="FP"/>
    <w:basedOn w:val="Normal"/>
    <w:rsid w:val="00025F5A"/>
    <w:pPr>
      <w:spacing w:after="0"/>
      <w:jc w:val="left"/>
    </w:pPr>
    <w:rPr>
      <w:lang w:eastAsia="en-US"/>
    </w:rPr>
  </w:style>
  <w:style w:type="paragraph" w:customStyle="1" w:styleId="Observation">
    <w:name w:val="Observation"/>
    <w:basedOn w:val="Proposal"/>
    <w:qFormat/>
    <w:rsid w:val="00025F5A"/>
    <w:pPr>
      <w:numPr>
        <w:numId w:val="13"/>
      </w:numPr>
      <w:ind w:left="1701" w:hanging="1701"/>
    </w:pPr>
  </w:style>
  <w:style w:type="paragraph" w:styleId="TableofFigures">
    <w:name w:val="table of figures"/>
    <w:basedOn w:val="Normal"/>
    <w:next w:val="Normal"/>
    <w:uiPriority w:val="99"/>
    <w:rsid w:val="00025F5A"/>
    <w:pPr>
      <w:ind w:left="1418" w:hanging="1418"/>
      <w:jc w:val="left"/>
    </w:pPr>
    <w:rPr>
      <w:b/>
    </w:rPr>
  </w:style>
  <w:style w:type="paragraph" w:styleId="Index4">
    <w:name w:val="index 4"/>
    <w:basedOn w:val="Normal"/>
    <w:next w:val="Normal"/>
    <w:autoRedefine/>
    <w:rsid w:val="00025F5A"/>
    <w:pPr>
      <w:ind w:left="800" w:hanging="200"/>
    </w:pPr>
  </w:style>
  <w:style w:type="paragraph" w:styleId="ListParagraph">
    <w:name w:val="List Paragraph"/>
    <w:aliases w:val="- Bullets,목록 단락,リスト段落,列出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AD2DAD"/>
    <w:rPr>
      <w:color w:val="808080"/>
    </w:rPr>
  </w:style>
  <w:style w:type="character" w:styleId="UnresolvedMention">
    <w:name w:val="Unresolved Mention"/>
    <w:basedOn w:val="DefaultParagraphFont"/>
    <w:uiPriority w:val="99"/>
    <w:semiHidden/>
    <w:unhideWhenUsed/>
    <w:rsid w:val="00A612CF"/>
    <w:rPr>
      <w:color w:val="808080"/>
      <w:shd w:val="clear" w:color="auto" w:fill="E6E6E6"/>
    </w:rPr>
  </w:style>
  <w:style w:type="character" w:customStyle="1" w:styleId="CommentTextChar">
    <w:name w:val="Comment Text Char"/>
    <w:link w:val="CommentText"/>
    <w:rsid w:val="00ED7EFC"/>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20735">
      <w:bodyDiv w:val="1"/>
      <w:marLeft w:val="0"/>
      <w:marRight w:val="0"/>
      <w:marTop w:val="0"/>
      <w:marBottom w:val="0"/>
      <w:divBdr>
        <w:top w:val="none" w:sz="0" w:space="0" w:color="auto"/>
        <w:left w:val="none" w:sz="0" w:space="0" w:color="auto"/>
        <w:bottom w:val="none" w:sz="0" w:space="0" w:color="auto"/>
        <w:right w:val="none" w:sz="0" w:space="0" w:color="auto"/>
      </w:divBdr>
    </w:div>
    <w:div w:id="365444197">
      <w:bodyDiv w:val="1"/>
      <w:marLeft w:val="0"/>
      <w:marRight w:val="0"/>
      <w:marTop w:val="0"/>
      <w:marBottom w:val="0"/>
      <w:divBdr>
        <w:top w:val="none" w:sz="0" w:space="0" w:color="auto"/>
        <w:left w:val="none" w:sz="0" w:space="0" w:color="auto"/>
        <w:bottom w:val="none" w:sz="0" w:space="0" w:color="auto"/>
        <w:right w:val="none" w:sz="0" w:space="0" w:color="auto"/>
      </w:divBdr>
    </w:div>
    <w:div w:id="381710584">
      <w:bodyDiv w:val="1"/>
      <w:marLeft w:val="0"/>
      <w:marRight w:val="0"/>
      <w:marTop w:val="0"/>
      <w:marBottom w:val="0"/>
      <w:divBdr>
        <w:top w:val="none" w:sz="0" w:space="0" w:color="auto"/>
        <w:left w:val="none" w:sz="0" w:space="0" w:color="auto"/>
        <w:bottom w:val="none" w:sz="0" w:space="0" w:color="auto"/>
        <w:right w:val="none" w:sz="0" w:space="0" w:color="auto"/>
      </w:divBdr>
    </w:div>
    <w:div w:id="552694982">
      <w:bodyDiv w:val="1"/>
      <w:marLeft w:val="0"/>
      <w:marRight w:val="0"/>
      <w:marTop w:val="0"/>
      <w:marBottom w:val="0"/>
      <w:divBdr>
        <w:top w:val="none" w:sz="0" w:space="0" w:color="auto"/>
        <w:left w:val="none" w:sz="0" w:space="0" w:color="auto"/>
        <w:bottom w:val="none" w:sz="0" w:space="0" w:color="auto"/>
        <w:right w:val="none" w:sz="0" w:space="0" w:color="auto"/>
      </w:divBdr>
    </w:div>
    <w:div w:id="664479648">
      <w:bodyDiv w:val="1"/>
      <w:marLeft w:val="0"/>
      <w:marRight w:val="0"/>
      <w:marTop w:val="0"/>
      <w:marBottom w:val="0"/>
      <w:divBdr>
        <w:top w:val="none" w:sz="0" w:space="0" w:color="auto"/>
        <w:left w:val="none" w:sz="0" w:space="0" w:color="auto"/>
        <w:bottom w:val="none" w:sz="0" w:space="0" w:color="auto"/>
        <w:right w:val="none" w:sz="0" w:space="0" w:color="auto"/>
      </w:divBdr>
    </w:div>
    <w:div w:id="908073270">
      <w:bodyDiv w:val="1"/>
      <w:marLeft w:val="0"/>
      <w:marRight w:val="0"/>
      <w:marTop w:val="0"/>
      <w:marBottom w:val="0"/>
      <w:divBdr>
        <w:top w:val="none" w:sz="0" w:space="0" w:color="auto"/>
        <w:left w:val="none" w:sz="0" w:space="0" w:color="auto"/>
        <w:bottom w:val="none" w:sz="0" w:space="0" w:color="auto"/>
        <w:right w:val="none" w:sz="0" w:space="0" w:color="auto"/>
      </w:divBdr>
    </w:div>
    <w:div w:id="986472476">
      <w:bodyDiv w:val="1"/>
      <w:marLeft w:val="0"/>
      <w:marRight w:val="0"/>
      <w:marTop w:val="0"/>
      <w:marBottom w:val="0"/>
      <w:divBdr>
        <w:top w:val="none" w:sz="0" w:space="0" w:color="auto"/>
        <w:left w:val="none" w:sz="0" w:space="0" w:color="auto"/>
        <w:bottom w:val="none" w:sz="0" w:space="0" w:color="auto"/>
        <w:right w:val="none" w:sz="0" w:space="0" w:color="auto"/>
      </w:divBdr>
    </w:div>
    <w:div w:id="1405563719">
      <w:bodyDiv w:val="1"/>
      <w:marLeft w:val="0"/>
      <w:marRight w:val="0"/>
      <w:marTop w:val="0"/>
      <w:marBottom w:val="0"/>
      <w:divBdr>
        <w:top w:val="none" w:sz="0" w:space="0" w:color="auto"/>
        <w:left w:val="none" w:sz="0" w:space="0" w:color="auto"/>
        <w:bottom w:val="none" w:sz="0" w:space="0" w:color="auto"/>
        <w:right w:val="none" w:sz="0" w:space="0" w:color="auto"/>
      </w:divBdr>
    </w:div>
    <w:div w:id="1438864027">
      <w:bodyDiv w:val="1"/>
      <w:marLeft w:val="0"/>
      <w:marRight w:val="0"/>
      <w:marTop w:val="0"/>
      <w:marBottom w:val="0"/>
      <w:divBdr>
        <w:top w:val="none" w:sz="0" w:space="0" w:color="auto"/>
        <w:left w:val="none" w:sz="0" w:space="0" w:color="auto"/>
        <w:bottom w:val="none" w:sz="0" w:space="0" w:color="auto"/>
        <w:right w:val="none" w:sz="0" w:space="0" w:color="auto"/>
      </w:divBdr>
    </w:div>
    <w:div w:id="1735934731">
      <w:bodyDiv w:val="1"/>
      <w:marLeft w:val="0"/>
      <w:marRight w:val="0"/>
      <w:marTop w:val="0"/>
      <w:marBottom w:val="0"/>
      <w:divBdr>
        <w:top w:val="none" w:sz="0" w:space="0" w:color="auto"/>
        <w:left w:val="none" w:sz="0" w:space="0" w:color="auto"/>
        <w:bottom w:val="none" w:sz="0" w:space="0" w:color="auto"/>
        <w:right w:val="none" w:sz="0" w:space="0" w:color="auto"/>
      </w:divBdr>
    </w:div>
    <w:div w:id="1897818961">
      <w:bodyDiv w:val="1"/>
      <w:marLeft w:val="0"/>
      <w:marRight w:val="0"/>
      <w:marTop w:val="0"/>
      <w:marBottom w:val="0"/>
      <w:divBdr>
        <w:top w:val="none" w:sz="0" w:space="0" w:color="auto"/>
        <w:left w:val="none" w:sz="0" w:space="0" w:color="auto"/>
        <w:bottom w:val="none" w:sz="0" w:space="0" w:color="auto"/>
        <w:right w:val="none" w:sz="0" w:space="0" w:color="auto"/>
      </w:divBdr>
    </w:div>
    <w:div w:id="2019231688">
      <w:bodyDiv w:val="1"/>
      <w:marLeft w:val="0"/>
      <w:marRight w:val="0"/>
      <w:marTop w:val="0"/>
      <w:marBottom w:val="0"/>
      <w:divBdr>
        <w:top w:val="none" w:sz="0" w:space="0" w:color="auto"/>
        <w:left w:val="none" w:sz="0" w:space="0" w:color="auto"/>
        <w:bottom w:val="none" w:sz="0" w:space="0" w:color="auto"/>
        <w:right w:val="none" w:sz="0" w:space="0" w:color="auto"/>
      </w:divBdr>
    </w:div>
    <w:div w:id="2083328000">
      <w:bodyDiv w:val="1"/>
      <w:marLeft w:val="0"/>
      <w:marRight w:val="0"/>
      <w:marTop w:val="0"/>
      <w:marBottom w:val="0"/>
      <w:divBdr>
        <w:top w:val="none" w:sz="0" w:space="0" w:color="auto"/>
        <w:left w:val="none" w:sz="0" w:space="0" w:color="auto"/>
        <w:bottom w:val="none" w:sz="0" w:space="0" w:color="auto"/>
        <w:right w:val="none" w:sz="0" w:space="0" w:color="auto"/>
      </w:divBdr>
    </w:div>
    <w:div w:id="210718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D1530FAB-A61D-4132-BD58-F44053D74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37</TotalTime>
  <Pages>4</Pages>
  <Words>1729</Words>
  <Characters>9858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5</cp:revision>
  <cp:lastPrinted>2008-01-31T15:09:00Z</cp:lastPrinted>
  <dcterms:created xsi:type="dcterms:W3CDTF">2018-02-17T01:06:00Z</dcterms:created>
  <dcterms:modified xsi:type="dcterms:W3CDTF">2018-02-17T05:11:00Z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